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A4BA7" w14:textId="77777777" w:rsidR="00306895" w:rsidRPr="00821012" w:rsidRDefault="00306895" w:rsidP="00306895">
      <w:pPr>
        <w:tabs>
          <w:tab w:val="right" w:pos="7655"/>
        </w:tabs>
        <w:spacing w:before="360" w:after="360"/>
        <w:jc w:val="both"/>
        <w:rPr>
          <w:rStyle w:val="flt"/>
          <w:rFonts w:ascii="Arial" w:hAnsi="Arial" w:cs="Arial"/>
          <w:b/>
          <w:szCs w:val="24"/>
          <w:lang w:val="en-US"/>
        </w:rPr>
      </w:pPr>
      <w:r w:rsidRPr="00821012">
        <w:rPr>
          <w:rStyle w:val="flt"/>
          <w:rFonts w:ascii="Arial" w:hAnsi="Arial" w:cs="Arial"/>
          <w:b/>
          <w:szCs w:val="24"/>
          <w:lang w:val="en-US"/>
        </w:rPr>
        <w:t>STRENGTHENING COMMUNITY POLICING IN ALBANIA, PHASE 3, PROGRAM IMPLEMENTATION, 2024-2030</w:t>
      </w:r>
    </w:p>
    <w:p w14:paraId="22A2D659" w14:textId="77777777" w:rsidR="00821012" w:rsidRPr="00821012" w:rsidRDefault="00821012" w:rsidP="00821012">
      <w:pPr>
        <w:autoSpaceDE w:val="0"/>
        <w:autoSpaceDN w:val="0"/>
        <w:adjustRightInd w:val="0"/>
        <w:rPr>
          <w:rFonts w:asciiTheme="majorHAnsi" w:eastAsia="Calibri" w:hAnsiTheme="majorHAnsi" w:cstheme="majorHAnsi"/>
          <w:b/>
          <w:i/>
          <w:color w:val="FF0000"/>
          <w:sz w:val="28"/>
          <w:szCs w:val="28"/>
          <w:lang w:val="en-GB" w:bidi="en-GB"/>
        </w:rPr>
      </w:pPr>
      <w:r w:rsidRPr="00821012">
        <w:rPr>
          <w:rStyle w:val="flt"/>
          <w:rFonts w:ascii="Arial" w:hAnsi="Arial" w:cs="Arial"/>
          <w:b/>
          <w:lang w:val="en-US"/>
        </w:rPr>
        <w:t>UM2023/30292/TIRA</w:t>
      </w:r>
    </w:p>
    <w:p w14:paraId="557CF007" w14:textId="77777777" w:rsidR="0009283A" w:rsidRPr="00821012" w:rsidRDefault="0009283A">
      <w:pPr>
        <w:rPr>
          <w:b/>
          <w:lang w:val="en-GB"/>
        </w:rPr>
      </w:pPr>
    </w:p>
    <w:p w14:paraId="3AF2CF2C" w14:textId="5B1D655B" w:rsidR="007B2760" w:rsidRPr="00652F32" w:rsidRDefault="00F12766">
      <w:pPr>
        <w:rPr>
          <w:b/>
          <w:lang w:val="en-GB"/>
        </w:rPr>
      </w:pPr>
      <w:r>
        <w:rPr>
          <w:b/>
          <w:lang w:val="en-GB"/>
        </w:rPr>
        <w:t>Final</w:t>
      </w:r>
      <w:r w:rsidR="0066298B">
        <w:rPr>
          <w:b/>
          <w:lang w:val="en-GB"/>
        </w:rPr>
        <w:t xml:space="preserve"> </w:t>
      </w:r>
      <w:r w:rsidR="005A6EE8" w:rsidRPr="002B670C">
        <w:rPr>
          <w:b/>
          <w:lang w:val="en-GB"/>
        </w:rPr>
        <w:t>Answers to Bidder</w:t>
      </w:r>
      <w:r w:rsidR="00F74D5E" w:rsidRPr="002B670C">
        <w:rPr>
          <w:b/>
          <w:lang w:val="en-GB"/>
        </w:rPr>
        <w:t>s’</w:t>
      </w:r>
      <w:r w:rsidR="005A6EE8" w:rsidRPr="002B670C">
        <w:rPr>
          <w:b/>
          <w:lang w:val="en-GB"/>
        </w:rPr>
        <w:t xml:space="preserve"> Questions</w:t>
      </w:r>
      <w:r w:rsidR="0066298B">
        <w:rPr>
          <w:b/>
          <w:lang w:val="en-GB"/>
        </w:rPr>
        <w:t xml:space="preserve"> </w:t>
      </w:r>
      <w:r w:rsidR="003850FD" w:rsidRPr="007179CD">
        <w:rPr>
          <w:b/>
          <w:lang w:val="en-GB"/>
        </w:rPr>
        <w:t xml:space="preserve">(Interim Answers were published in </w:t>
      </w:r>
      <w:r w:rsidR="00130B28" w:rsidRPr="007179CD">
        <w:rPr>
          <w:b/>
          <w:lang w:val="en-GB"/>
        </w:rPr>
        <w:t>20-12-2023 and 22-12-2023)</w:t>
      </w:r>
    </w:p>
    <w:p w14:paraId="51D014EF" w14:textId="77777777" w:rsidR="007B2760" w:rsidRPr="002B670C" w:rsidRDefault="007B2760">
      <w:pPr>
        <w:rPr>
          <w:lang w:val="en-GB"/>
        </w:rPr>
      </w:pPr>
    </w:p>
    <w:tbl>
      <w:tblPr>
        <w:tblStyle w:val="TableGrid"/>
        <w:tblW w:w="0" w:type="auto"/>
        <w:tblLook w:val="04A0" w:firstRow="1" w:lastRow="0" w:firstColumn="1" w:lastColumn="0" w:noHBand="0" w:noVBand="1"/>
      </w:tblPr>
      <w:tblGrid>
        <w:gridCol w:w="562"/>
        <w:gridCol w:w="4962"/>
        <w:gridCol w:w="5244"/>
      </w:tblGrid>
      <w:tr w:rsidR="00464C99" w14:paraId="1AA6F17C" w14:textId="77777777" w:rsidTr="00284A07">
        <w:tc>
          <w:tcPr>
            <w:tcW w:w="562" w:type="dxa"/>
          </w:tcPr>
          <w:p w14:paraId="53151B84" w14:textId="30B77606" w:rsidR="00464C99" w:rsidRPr="00821012" w:rsidRDefault="00464C99">
            <w:pPr>
              <w:rPr>
                <w:b/>
                <w:bCs/>
              </w:rPr>
            </w:pPr>
            <w:r w:rsidRPr="00821012">
              <w:rPr>
                <w:b/>
                <w:bCs/>
              </w:rPr>
              <w:t>No.</w:t>
            </w:r>
          </w:p>
        </w:tc>
        <w:tc>
          <w:tcPr>
            <w:tcW w:w="4962" w:type="dxa"/>
          </w:tcPr>
          <w:p w14:paraId="6BCD8060" w14:textId="2EED1F6E" w:rsidR="00464C99" w:rsidRPr="00821012" w:rsidRDefault="00464C99">
            <w:pPr>
              <w:rPr>
                <w:b/>
                <w:bCs/>
              </w:rPr>
            </w:pPr>
            <w:r w:rsidRPr="00821012">
              <w:rPr>
                <w:b/>
                <w:bCs/>
              </w:rPr>
              <w:t>Question</w:t>
            </w:r>
          </w:p>
        </w:tc>
        <w:tc>
          <w:tcPr>
            <w:tcW w:w="5244" w:type="dxa"/>
          </w:tcPr>
          <w:p w14:paraId="45C2D285" w14:textId="15384090" w:rsidR="00464C99" w:rsidRPr="00821012" w:rsidRDefault="00464C99">
            <w:pPr>
              <w:rPr>
                <w:b/>
                <w:bCs/>
              </w:rPr>
            </w:pPr>
            <w:proofErr w:type="spellStart"/>
            <w:r w:rsidRPr="00821012">
              <w:rPr>
                <w:b/>
                <w:bCs/>
              </w:rPr>
              <w:t>Answer</w:t>
            </w:r>
            <w:proofErr w:type="spellEnd"/>
          </w:p>
        </w:tc>
      </w:tr>
      <w:tr w:rsidR="004D7654" w:rsidRPr="008C5A43" w14:paraId="1EA1325A" w14:textId="77777777" w:rsidTr="00284A07">
        <w:tc>
          <w:tcPr>
            <w:tcW w:w="562" w:type="dxa"/>
          </w:tcPr>
          <w:p w14:paraId="118AE1F7" w14:textId="310EE627" w:rsidR="004D7654" w:rsidRDefault="00F12766" w:rsidP="004D7654">
            <w:r>
              <w:t>20</w:t>
            </w:r>
          </w:p>
        </w:tc>
        <w:tc>
          <w:tcPr>
            <w:tcW w:w="4962" w:type="dxa"/>
          </w:tcPr>
          <w:p w14:paraId="2A9873B0" w14:textId="77777777" w:rsidR="00B51BAD" w:rsidRPr="00A07FA7" w:rsidRDefault="00B51BAD" w:rsidP="00B51BAD">
            <w:pPr>
              <w:rPr>
                <w:rFonts w:eastAsia="Times New Roman"/>
                <w:lang w:val="en-GB"/>
              </w:rPr>
            </w:pPr>
            <w:r w:rsidRPr="00A07FA7">
              <w:rPr>
                <w:rFonts w:eastAsia="Times New Roman"/>
                <w:lang w:val="en-GB"/>
              </w:rPr>
              <w:t>I ask for clarification relating to requirements of the Program Manager/ Team leader and Monitoring and Evaluation Expert.</w:t>
            </w:r>
          </w:p>
          <w:p w14:paraId="16E9BEED" w14:textId="3270B33A" w:rsidR="00B51BAD" w:rsidRPr="00A07FA7" w:rsidRDefault="00B51BAD" w:rsidP="00B51BAD">
            <w:pPr>
              <w:rPr>
                <w:rFonts w:eastAsia="Times New Roman"/>
                <w:lang w:val="en-GB"/>
              </w:rPr>
            </w:pPr>
            <w:r w:rsidRPr="00A07FA7">
              <w:rPr>
                <w:rFonts w:eastAsia="Times New Roman"/>
                <w:lang w:val="en-GB"/>
              </w:rPr>
              <w:t>Under section 4.6 Qualifications and competence for the Program Manager/ Team leader it states:</w:t>
            </w:r>
          </w:p>
          <w:p w14:paraId="204E35DC" w14:textId="77777777" w:rsidR="00B51BAD" w:rsidRPr="00A07FA7" w:rsidRDefault="00B51BAD" w:rsidP="00B51BAD">
            <w:pPr>
              <w:rPr>
                <w:rFonts w:eastAsia="Times New Roman"/>
                <w:lang w:val="en-GB"/>
              </w:rPr>
            </w:pPr>
            <w:r w:rsidRPr="00A07FA7">
              <w:rPr>
                <w:rFonts w:eastAsia="Times New Roman"/>
                <w:lang w:val="en-GB"/>
              </w:rPr>
              <w:t>I. Relevant university degree and professional experience/qualifications of at least 15 years, preferably related to police, justice, or security.</w:t>
            </w:r>
          </w:p>
          <w:p w14:paraId="7374EF64" w14:textId="77777777" w:rsidR="00B51BAD" w:rsidRPr="00A07FA7" w:rsidRDefault="00B51BAD" w:rsidP="00B51BAD">
            <w:pPr>
              <w:rPr>
                <w:rFonts w:eastAsia="Times New Roman"/>
                <w:lang w:val="en-GB"/>
              </w:rPr>
            </w:pPr>
            <w:r w:rsidRPr="00A07FA7">
              <w:rPr>
                <w:rFonts w:eastAsia="Times New Roman"/>
                <w:lang w:val="en-GB"/>
              </w:rPr>
              <w:t>Section 5.4 for the Program Manager/ Team leader it states:</w:t>
            </w:r>
          </w:p>
          <w:p w14:paraId="6810D18D" w14:textId="73290A3D" w:rsidR="00B51BAD" w:rsidRPr="00A07FA7" w:rsidRDefault="00B51BAD" w:rsidP="00B51BAD">
            <w:pPr>
              <w:rPr>
                <w:rFonts w:eastAsia="Times New Roman"/>
                <w:lang w:val="en-GB"/>
              </w:rPr>
            </w:pPr>
            <w:r w:rsidRPr="00A07FA7">
              <w:rPr>
                <w:rFonts w:eastAsia="Times New Roman"/>
                <w:lang w:val="en-GB"/>
              </w:rPr>
              <w:t xml:space="preserve">I. More than a relevant university degree or equivalent professional experience/qualifications of more than 15 years, preferably related to police, </w:t>
            </w:r>
            <w:r w:rsidR="002D5FF7" w:rsidRPr="00A07FA7">
              <w:rPr>
                <w:rFonts w:eastAsia="Times New Roman"/>
                <w:lang w:val="en-GB"/>
              </w:rPr>
              <w:t>justice,</w:t>
            </w:r>
            <w:r w:rsidRPr="00A07FA7">
              <w:rPr>
                <w:rFonts w:eastAsia="Times New Roman"/>
                <w:lang w:val="en-GB"/>
              </w:rPr>
              <w:t xml:space="preserve"> or security. [1 point]</w:t>
            </w:r>
          </w:p>
          <w:p w14:paraId="684402BC" w14:textId="77777777" w:rsidR="00B51BAD" w:rsidRPr="00A07FA7" w:rsidRDefault="00B51BAD" w:rsidP="00B51BAD">
            <w:pPr>
              <w:rPr>
                <w:rFonts w:eastAsia="Times New Roman"/>
                <w:lang w:val="en-GB"/>
              </w:rPr>
            </w:pPr>
            <w:r w:rsidRPr="00A07FA7">
              <w:rPr>
                <w:rFonts w:eastAsia="Times New Roman"/>
                <w:lang w:val="en-GB"/>
              </w:rPr>
              <w:t> </w:t>
            </w:r>
          </w:p>
          <w:p w14:paraId="1429D173" w14:textId="77777777" w:rsidR="00B51BAD" w:rsidRPr="00A07FA7" w:rsidRDefault="00B51BAD" w:rsidP="00B51BAD">
            <w:pPr>
              <w:rPr>
                <w:rFonts w:eastAsia="Times New Roman"/>
                <w:lang w:val="en-GB"/>
              </w:rPr>
            </w:pPr>
            <w:r w:rsidRPr="00A07FA7">
              <w:rPr>
                <w:rFonts w:eastAsia="Times New Roman"/>
                <w:lang w:val="en-GB"/>
              </w:rPr>
              <w:t>Q. Can you confirm if the requirement is degree and experience or degree or experience?</w:t>
            </w:r>
          </w:p>
          <w:p w14:paraId="081CCC1A" w14:textId="36F9C3A8" w:rsidR="00B51BAD" w:rsidRPr="00A07FA7" w:rsidRDefault="00B51BAD" w:rsidP="00B51BAD">
            <w:pPr>
              <w:rPr>
                <w:rFonts w:eastAsia="Times New Roman"/>
                <w:lang w:val="en-GB"/>
              </w:rPr>
            </w:pPr>
            <w:r w:rsidRPr="00A07FA7">
              <w:rPr>
                <w:rFonts w:eastAsia="Times New Roman"/>
                <w:lang w:val="en-GB"/>
              </w:rPr>
              <w:t>The same has been listed for the Monitoring and Evaluation Expert, can you also confirm for this position.</w:t>
            </w:r>
          </w:p>
          <w:p w14:paraId="180B71E3" w14:textId="77777777" w:rsidR="004D7654" w:rsidRPr="00A07FA7" w:rsidRDefault="004D7654" w:rsidP="004D7654">
            <w:pPr>
              <w:rPr>
                <w:rFonts w:eastAsia="Times New Roman"/>
                <w:lang w:val="en-GB"/>
              </w:rPr>
            </w:pPr>
          </w:p>
        </w:tc>
        <w:tc>
          <w:tcPr>
            <w:tcW w:w="5244" w:type="dxa"/>
          </w:tcPr>
          <w:p w14:paraId="640F6500" w14:textId="77777777" w:rsidR="00714FCB" w:rsidRDefault="00714FCB" w:rsidP="004F1DE5">
            <w:pPr>
              <w:rPr>
                <w:rFonts w:eastAsia="Times New Roman"/>
                <w:lang w:val="en-GB"/>
              </w:rPr>
            </w:pPr>
          </w:p>
          <w:p w14:paraId="22F10689" w14:textId="77777777" w:rsidR="00714FCB" w:rsidRDefault="00714FCB" w:rsidP="004F1DE5">
            <w:pPr>
              <w:rPr>
                <w:rFonts w:eastAsia="Times New Roman"/>
                <w:lang w:val="en-GB"/>
              </w:rPr>
            </w:pPr>
          </w:p>
          <w:p w14:paraId="3FE12432" w14:textId="77777777" w:rsidR="00714FCB" w:rsidRDefault="00714FCB" w:rsidP="004F1DE5">
            <w:pPr>
              <w:rPr>
                <w:rFonts w:eastAsia="Times New Roman"/>
                <w:lang w:val="en-GB"/>
              </w:rPr>
            </w:pPr>
          </w:p>
          <w:p w14:paraId="32F9A71B" w14:textId="77777777" w:rsidR="00714FCB" w:rsidRDefault="00714FCB" w:rsidP="004F1DE5">
            <w:pPr>
              <w:rPr>
                <w:rFonts w:eastAsia="Times New Roman"/>
                <w:lang w:val="en-GB"/>
              </w:rPr>
            </w:pPr>
          </w:p>
          <w:p w14:paraId="5D4073E5" w14:textId="77777777" w:rsidR="00714FCB" w:rsidRDefault="00714FCB" w:rsidP="004F1DE5">
            <w:pPr>
              <w:rPr>
                <w:rFonts w:eastAsia="Times New Roman"/>
                <w:lang w:val="en-GB"/>
              </w:rPr>
            </w:pPr>
          </w:p>
          <w:p w14:paraId="17AED094" w14:textId="77777777" w:rsidR="00714FCB" w:rsidRDefault="00714FCB" w:rsidP="004F1DE5">
            <w:pPr>
              <w:rPr>
                <w:rFonts w:eastAsia="Times New Roman"/>
                <w:lang w:val="en-GB"/>
              </w:rPr>
            </w:pPr>
          </w:p>
          <w:p w14:paraId="7C5AE4CB" w14:textId="77777777" w:rsidR="00714FCB" w:rsidRDefault="00714FCB" w:rsidP="004F1DE5">
            <w:pPr>
              <w:rPr>
                <w:rFonts w:eastAsia="Times New Roman"/>
                <w:lang w:val="en-GB"/>
              </w:rPr>
            </w:pPr>
          </w:p>
          <w:p w14:paraId="477888C8" w14:textId="77777777" w:rsidR="00714FCB" w:rsidRDefault="00714FCB" w:rsidP="004F1DE5">
            <w:pPr>
              <w:rPr>
                <w:rFonts w:eastAsia="Times New Roman"/>
                <w:lang w:val="en-GB"/>
              </w:rPr>
            </w:pPr>
          </w:p>
          <w:p w14:paraId="6521A01C" w14:textId="77777777" w:rsidR="00714FCB" w:rsidRDefault="00714FCB" w:rsidP="004F1DE5">
            <w:pPr>
              <w:rPr>
                <w:rFonts w:eastAsia="Times New Roman"/>
                <w:lang w:val="en-GB"/>
              </w:rPr>
            </w:pPr>
          </w:p>
          <w:p w14:paraId="1778481F" w14:textId="77777777" w:rsidR="00714FCB" w:rsidRDefault="00714FCB" w:rsidP="004F1DE5">
            <w:pPr>
              <w:rPr>
                <w:rFonts w:eastAsia="Times New Roman"/>
                <w:lang w:val="en-GB"/>
              </w:rPr>
            </w:pPr>
          </w:p>
          <w:p w14:paraId="75C2A878" w14:textId="77777777" w:rsidR="00714FCB" w:rsidRDefault="00714FCB" w:rsidP="004F1DE5">
            <w:pPr>
              <w:rPr>
                <w:rFonts w:eastAsia="Times New Roman"/>
                <w:lang w:val="en-GB"/>
              </w:rPr>
            </w:pPr>
          </w:p>
          <w:p w14:paraId="0F45209F" w14:textId="77777777" w:rsidR="00714FCB" w:rsidRDefault="00714FCB" w:rsidP="004F1DE5">
            <w:pPr>
              <w:rPr>
                <w:rFonts w:eastAsia="Times New Roman"/>
                <w:lang w:val="en-GB"/>
              </w:rPr>
            </w:pPr>
          </w:p>
          <w:p w14:paraId="4C619D44" w14:textId="77777777" w:rsidR="00714FCB" w:rsidRDefault="00714FCB" w:rsidP="004F1DE5">
            <w:pPr>
              <w:rPr>
                <w:rFonts w:eastAsia="Times New Roman"/>
                <w:lang w:val="en-GB"/>
              </w:rPr>
            </w:pPr>
          </w:p>
          <w:p w14:paraId="0D1BCF8E" w14:textId="77777777" w:rsidR="00714FCB" w:rsidRDefault="00714FCB" w:rsidP="004F1DE5">
            <w:pPr>
              <w:rPr>
                <w:rFonts w:eastAsia="Times New Roman"/>
                <w:lang w:val="en-GB"/>
              </w:rPr>
            </w:pPr>
          </w:p>
          <w:p w14:paraId="478DF3C0" w14:textId="77777777" w:rsidR="00714FCB" w:rsidRDefault="00714FCB" w:rsidP="004F1DE5">
            <w:pPr>
              <w:rPr>
                <w:rFonts w:eastAsia="Times New Roman"/>
                <w:lang w:val="en-GB"/>
              </w:rPr>
            </w:pPr>
          </w:p>
          <w:p w14:paraId="3DF897ED" w14:textId="7EF63CF8" w:rsidR="004F1DE5" w:rsidRPr="004F1DE5" w:rsidRDefault="004F1DE5" w:rsidP="004F1DE5">
            <w:pPr>
              <w:rPr>
                <w:rFonts w:eastAsia="Times New Roman"/>
                <w:lang w:val="en-GB"/>
              </w:rPr>
            </w:pPr>
            <w:r w:rsidRPr="004F1DE5">
              <w:rPr>
                <w:rFonts w:eastAsia="Times New Roman"/>
                <w:lang w:val="en-GB"/>
              </w:rPr>
              <w:t>The wording in section 4.6 is applicable. In all cases a degree AND professional experience are required. </w:t>
            </w:r>
          </w:p>
          <w:p w14:paraId="0A1CCAF0" w14:textId="088CBFF2" w:rsidR="004D7654" w:rsidRPr="00BC1E43" w:rsidRDefault="004D7654" w:rsidP="004D7654">
            <w:pPr>
              <w:rPr>
                <w:sz w:val="24"/>
                <w:szCs w:val="24"/>
                <w:lang w:val="en-GB"/>
              </w:rPr>
            </w:pPr>
          </w:p>
        </w:tc>
      </w:tr>
      <w:tr w:rsidR="004D7654" w:rsidRPr="008C5A43" w14:paraId="1578BE07" w14:textId="77777777" w:rsidTr="00284A07">
        <w:trPr>
          <w:trHeight w:val="876"/>
        </w:trPr>
        <w:tc>
          <w:tcPr>
            <w:tcW w:w="562" w:type="dxa"/>
          </w:tcPr>
          <w:p w14:paraId="29156C88" w14:textId="1F862465" w:rsidR="004D7654" w:rsidRPr="006521ED" w:rsidRDefault="00142593" w:rsidP="004D7654">
            <w:pPr>
              <w:rPr>
                <w:lang w:val="en-GB"/>
              </w:rPr>
            </w:pPr>
            <w:r>
              <w:rPr>
                <w:lang w:val="en-GB"/>
              </w:rPr>
              <w:t>21</w:t>
            </w:r>
          </w:p>
        </w:tc>
        <w:tc>
          <w:tcPr>
            <w:tcW w:w="4962" w:type="dxa"/>
          </w:tcPr>
          <w:p w14:paraId="06A3797D" w14:textId="191E8C41" w:rsidR="008B050D" w:rsidRPr="00A07FA7" w:rsidRDefault="008B050D" w:rsidP="00A07FA7">
            <w:pPr>
              <w:rPr>
                <w:rFonts w:eastAsia="Times New Roman"/>
                <w:lang w:val="en-GB"/>
              </w:rPr>
            </w:pPr>
            <w:r w:rsidRPr="00A07FA7">
              <w:rPr>
                <w:rFonts w:eastAsia="Times New Roman"/>
                <w:lang w:val="en-GB"/>
              </w:rPr>
              <w:t xml:space="preserve">Exact Man-month input of "International Policy Adviser " are "part-time (50%) for the whole 5 years period" ? as indicated in page 25 of the </w:t>
            </w:r>
            <w:proofErr w:type="spellStart"/>
            <w:r w:rsidRPr="00A07FA7">
              <w:rPr>
                <w:rFonts w:eastAsia="Times New Roman"/>
                <w:lang w:val="en-GB"/>
              </w:rPr>
              <w:t>ToRs</w:t>
            </w:r>
            <w:proofErr w:type="spellEnd"/>
            <w:r w:rsidRPr="00A07FA7">
              <w:rPr>
                <w:rFonts w:eastAsia="Times New Roman"/>
                <w:lang w:val="en-GB"/>
              </w:rPr>
              <w:t xml:space="preserve"> or " full-time for 3,5 years and part-time (50%) during the 1,5 remaining years?" as indicated in page 23 of the </w:t>
            </w:r>
            <w:proofErr w:type="spellStart"/>
            <w:r w:rsidRPr="00A07FA7">
              <w:rPr>
                <w:rFonts w:eastAsia="Times New Roman"/>
                <w:lang w:val="en-GB"/>
              </w:rPr>
              <w:t>ToRs</w:t>
            </w:r>
            <w:proofErr w:type="spellEnd"/>
            <w:r w:rsidRPr="00A07FA7">
              <w:rPr>
                <w:rFonts w:eastAsia="Times New Roman"/>
                <w:lang w:val="en-GB"/>
              </w:rPr>
              <w:t xml:space="preserve"> , or we </w:t>
            </w:r>
            <w:proofErr w:type="gramStart"/>
            <w:r w:rsidRPr="00A07FA7">
              <w:rPr>
                <w:rFonts w:eastAsia="Times New Roman"/>
                <w:lang w:val="en-GB"/>
              </w:rPr>
              <w:t>have to</w:t>
            </w:r>
            <w:proofErr w:type="gramEnd"/>
            <w:r w:rsidRPr="00A07FA7">
              <w:rPr>
                <w:rFonts w:eastAsia="Times New Roman"/>
                <w:lang w:val="en-GB"/>
              </w:rPr>
              <w:t xml:space="preserve"> refer to  Appendix  I:SCPA Programme Document"?</w:t>
            </w:r>
          </w:p>
          <w:p w14:paraId="48785B0B" w14:textId="77777777" w:rsidR="008B050D" w:rsidRPr="00A07FA7" w:rsidRDefault="008B050D" w:rsidP="00A07FA7">
            <w:pPr>
              <w:rPr>
                <w:rFonts w:eastAsia="Times New Roman"/>
                <w:lang w:val="en-GB"/>
              </w:rPr>
            </w:pPr>
            <w:r w:rsidRPr="00A07FA7">
              <w:rPr>
                <w:rFonts w:eastAsia="Times New Roman"/>
                <w:lang w:val="en-GB"/>
              </w:rPr>
              <w:t> </w:t>
            </w:r>
          </w:p>
          <w:p w14:paraId="4C499C66" w14:textId="3A38338D" w:rsidR="008B050D" w:rsidRPr="00A07FA7" w:rsidRDefault="008B050D" w:rsidP="00A07FA7">
            <w:pPr>
              <w:rPr>
                <w:rFonts w:eastAsia="Times New Roman"/>
                <w:lang w:val="en-GB"/>
              </w:rPr>
            </w:pPr>
            <w:r w:rsidRPr="00A07FA7">
              <w:rPr>
                <w:rFonts w:eastAsia="Times New Roman"/>
                <w:lang w:val="en-GB"/>
              </w:rPr>
              <w:t xml:space="preserve">Exact Man month input of "Monitoring &amp; Evaluation expert"  is "full-time for the first three years and part-time (50%) in the remaining (last) two years"?  as it is indicated in the page 23 of the </w:t>
            </w:r>
            <w:proofErr w:type="spellStart"/>
            <w:r w:rsidRPr="00A07FA7">
              <w:rPr>
                <w:rFonts w:eastAsia="Times New Roman"/>
                <w:lang w:val="en-GB"/>
              </w:rPr>
              <w:t>ToRs</w:t>
            </w:r>
            <w:proofErr w:type="spellEnd"/>
            <w:r w:rsidRPr="00A07FA7">
              <w:rPr>
                <w:rFonts w:eastAsia="Times New Roman"/>
                <w:lang w:val="en-GB"/>
              </w:rPr>
              <w:t xml:space="preserve"> or  "  full-time for the first year and part time (50%) for the remaining 4 years." </w:t>
            </w:r>
          </w:p>
          <w:p w14:paraId="3F01C202" w14:textId="77777777" w:rsidR="008B050D" w:rsidRPr="00A07FA7" w:rsidRDefault="008B050D" w:rsidP="00A07FA7">
            <w:pPr>
              <w:rPr>
                <w:rFonts w:eastAsia="Times New Roman"/>
                <w:lang w:val="en-GB"/>
              </w:rPr>
            </w:pPr>
            <w:r w:rsidRPr="00A07FA7">
              <w:rPr>
                <w:rFonts w:eastAsia="Times New Roman"/>
                <w:lang w:val="en-GB"/>
              </w:rPr>
              <w:t xml:space="preserve">or we </w:t>
            </w:r>
            <w:proofErr w:type="gramStart"/>
            <w:r w:rsidRPr="00A07FA7">
              <w:rPr>
                <w:rFonts w:eastAsia="Times New Roman"/>
                <w:lang w:val="en-GB"/>
              </w:rPr>
              <w:t>have to</w:t>
            </w:r>
            <w:proofErr w:type="gramEnd"/>
            <w:r w:rsidRPr="00A07FA7">
              <w:rPr>
                <w:rFonts w:eastAsia="Times New Roman"/>
                <w:lang w:val="en-GB"/>
              </w:rPr>
              <w:t xml:space="preserve"> refer to  Appendix  I:SCPA Programme Document"? </w:t>
            </w:r>
          </w:p>
          <w:p w14:paraId="35F15BF9" w14:textId="38D9D55A" w:rsidR="004D7654" w:rsidRPr="00A07FA7" w:rsidRDefault="004D7654" w:rsidP="00A07FA7">
            <w:pPr>
              <w:rPr>
                <w:rFonts w:eastAsia="Times New Roman"/>
                <w:lang w:val="en-GB"/>
              </w:rPr>
            </w:pPr>
          </w:p>
        </w:tc>
        <w:tc>
          <w:tcPr>
            <w:tcW w:w="5244" w:type="dxa"/>
          </w:tcPr>
          <w:p w14:paraId="65FDF973" w14:textId="1CF67221" w:rsidR="00A07FA7" w:rsidRDefault="00B85000" w:rsidP="00B85000">
            <w:pPr>
              <w:rPr>
                <w:lang w:val="en-GB"/>
              </w:rPr>
            </w:pPr>
            <w:r>
              <w:rPr>
                <w:lang w:val="en-GB"/>
              </w:rPr>
              <w:t>The already published answer</w:t>
            </w:r>
            <w:r w:rsidR="004D5AB9">
              <w:rPr>
                <w:lang w:val="en-GB"/>
              </w:rPr>
              <w:t>s</w:t>
            </w:r>
            <w:r>
              <w:rPr>
                <w:lang w:val="en-GB"/>
              </w:rPr>
              <w:t xml:space="preserve"> </w:t>
            </w:r>
            <w:r w:rsidR="004D5AB9">
              <w:rPr>
                <w:lang w:val="en-GB"/>
              </w:rPr>
              <w:t>are</w:t>
            </w:r>
            <w:r>
              <w:rPr>
                <w:lang w:val="en-GB"/>
              </w:rPr>
              <w:t xml:space="preserve"> as follows: </w:t>
            </w:r>
          </w:p>
          <w:p w14:paraId="4B4D7FF6" w14:textId="77777777" w:rsidR="00A07FA7" w:rsidRDefault="00A07FA7" w:rsidP="00B85000">
            <w:pPr>
              <w:rPr>
                <w:rFonts w:ascii="Arial" w:hAnsi="Arial" w:cs="Arial"/>
                <w:i/>
                <w:iCs/>
                <w:lang w:val="en-US"/>
              </w:rPr>
            </w:pPr>
          </w:p>
          <w:p w14:paraId="6C5FCB08" w14:textId="5B579DCC" w:rsidR="00B85000" w:rsidRPr="009266F4" w:rsidRDefault="00B85000" w:rsidP="00B85000">
            <w:pPr>
              <w:rPr>
                <w:rFonts w:ascii="Arial" w:hAnsi="Arial" w:cs="Arial"/>
                <w:b/>
                <w:bCs/>
                <w:u w:val="single"/>
                <w:lang w:val="en-US"/>
              </w:rPr>
            </w:pPr>
            <w:r w:rsidRPr="0060476B">
              <w:rPr>
                <w:rFonts w:ascii="Arial" w:hAnsi="Arial" w:cs="Arial"/>
                <w:i/>
                <w:iCs/>
                <w:lang w:val="en-US"/>
              </w:rPr>
              <w:t>International Policing Advisor</w:t>
            </w:r>
            <w:r w:rsidRPr="009266F4">
              <w:rPr>
                <w:rFonts w:ascii="Arial" w:hAnsi="Arial" w:cs="Arial"/>
                <w:b/>
                <w:bCs/>
                <w:u w:val="single"/>
                <w:lang w:val="en-US"/>
              </w:rPr>
              <w:t xml:space="preserve">: </w:t>
            </w:r>
          </w:p>
          <w:p w14:paraId="31FCF5A2" w14:textId="11C6365E" w:rsidR="00B85000" w:rsidRPr="0060476B" w:rsidRDefault="00B85000" w:rsidP="00B85000">
            <w:pPr>
              <w:rPr>
                <w:rFonts w:ascii="Arial" w:hAnsi="Arial" w:cs="Arial"/>
                <w:b/>
                <w:bCs/>
                <w:lang w:val="en-US"/>
              </w:rPr>
            </w:pPr>
            <w:r w:rsidRPr="0060476B">
              <w:rPr>
                <w:rFonts w:ascii="Arial" w:hAnsi="Arial" w:cs="Arial"/>
                <w:lang w:val="en-US"/>
              </w:rPr>
              <w:t>The position</w:t>
            </w:r>
            <w:r w:rsidRPr="0060476B">
              <w:rPr>
                <w:rFonts w:ascii="Arial" w:hAnsi="Arial" w:cs="Arial"/>
                <w:b/>
                <w:bCs/>
                <w:lang w:val="en-US"/>
              </w:rPr>
              <w:t xml:space="preserve"> is part-time (50%) for the whole </w:t>
            </w:r>
            <w:r w:rsidR="00531467" w:rsidRPr="0060476B">
              <w:rPr>
                <w:rFonts w:ascii="Arial" w:hAnsi="Arial" w:cs="Arial"/>
                <w:b/>
                <w:bCs/>
                <w:lang w:val="en-US"/>
              </w:rPr>
              <w:t>5-year</w:t>
            </w:r>
            <w:r w:rsidRPr="0060476B">
              <w:rPr>
                <w:rFonts w:ascii="Arial" w:hAnsi="Arial" w:cs="Arial"/>
                <w:b/>
                <w:bCs/>
                <w:lang w:val="en-US"/>
              </w:rPr>
              <w:t xml:space="preserve"> period.</w:t>
            </w:r>
          </w:p>
          <w:p w14:paraId="2F0CEF61" w14:textId="77777777" w:rsidR="004D7654" w:rsidRDefault="004D7654" w:rsidP="004D7654">
            <w:pPr>
              <w:rPr>
                <w:sz w:val="24"/>
                <w:szCs w:val="24"/>
                <w:lang w:val="en-US"/>
              </w:rPr>
            </w:pPr>
          </w:p>
          <w:p w14:paraId="6C7DDA22" w14:textId="77777777" w:rsidR="00714FCB" w:rsidRDefault="00714FCB" w:rsidP="00A07FA7">
            <w:pPr>
              <w:rPr>
                <w:rFonts w:ascii="Arial" w:hAnsi="Arial" w:cs="Arial"/>
                <w:i/>
                <w:iCs/>
                <w:lang w:val="en-US"/>
              </w:rPr>
            </w:pPr>
          </w:p>
          <w:p w14:paraId="5AC2AC7A" w14:textId="77777777" w:rsidR="00714FCB" w:rsidRDefault="00714FCB" w:rsidP="00A07FA7">
            <w:pPr>
              <w:rPr>
                <w:rFonts w:ascii="Arial" w:hAnsi="Arial" w:cs="Arial"/>
                <w:i/>
                <w:iCs/>
                <w:lang w:val="en-US"/>
              </w:rPr>
            </w:pPr>
          </w:p>
          <w:p w14:paraId="6434FD36" w14:textId="77777777" w:rsidR="00714FCB" w:rsidRDefault="00714FCB" w:rsidP="00A07FA7">
            <w:pPr>
              <w:rPr>
                <w:rFonts w:ascii="Arial" w:hAnsi="Arial" w:cs="Arial"/>
                <w:i/>
                <w:iCs/>
                <w:lang w:val="en-US"/>
              </w:rPr>
            </w:pPr>
          </w:p>
          <w:p w14:paraId="1E481CE7" w14:textId="795F9DC8" w:rsidR="00A07FA7" w:rsidRPr="0060476B" w:rsidRDefault="00A07FA7" w:rsidP="00A07FA7">
            <w:pPr>
              <w:rPr>
                <w:rFonts w:ascii="Arial" w:hAnsi="Arial" w:cs="Arial"/>
                <w:i/>
                <w:iCs/>
                <w:lang w:val="en-US"/>
              </w:rPr>
            </w:pPr>
            <w:r w:rsidRPr="0060476B">
              <w:rPr>
                <w:rFonts w:ascii="Arial" w:hAnsi="Arial" w:cs="Arial"/>
                <w:i/>
                <w:iCs/>
                <w:lang w:val="en-US"/>
              </w:rPr>
              <w:t xml:space="preserve">Monitoring and Evaluation Expert: </w:t>
            </w:r>
          </w:p>
          <w:p w14:paraId="4F899A64" w14:textId="77777777" w:rsidR="00A07FA7" w:rsidRDefault="00A07FA7" w:rsidP="00A07FA7">
            <w:pPr>
              <w:rPr>
                <w:rFonts w:ascii="Arial" w:hAnsi="Arial" w:cs="Arial"/>
                <w:lang w:val="en-US"/>
              </w:rPr>
            </w:pPr>
            <w:r w:rsidRPr="009266F4">
              <w:rPr>
                <w:rFonts w:ascii="Arial" w:hAnsi="Arial" w:cs="Arial"/>
                <w:lang w:val="en-US"/>
              </w:rPr>
              <w:t>The</w:t>
            </w:r>
            <w:r>
              <w:rPr>
                <w:rFonts w:ascii="Arial" w:hAnsi="Arial" w:cs="Arial"/>
                <w:lang w:val="en-US"/>
              </w:rPr>
              <w:t xml:space="preserve"> position </w:t>
            </w:r>
            <w:r w:rsidRPr="0060476B">
              <w:rPr>
                <w:rFonts w:ascii="Arial" w:hAnsi="Arial" w:cs="Arial"/>
                <w:b/>
                <w:bCs/>
                <w:lang w:val="en-US"/>
              </w:rPr>
              <w:t>is full-time for the first year and part-time (50%) for the remaining 4 years</w:t>
            </w:r>
            <w:r>
              <w:rPr>
                <w:rFonts w:ascii="Arial" w:hAnsi="Arial" w:cs="Arial"/>
                <w:lang w:val="en-US"/>
              </w:rPr>
              <w:t>.</w:t>
            </w:r>
          </w:p>
          <w:p w14:paraId="07622CA3" w14:textId="29EBAB99" w:rsidR="00A07FA7" w:rsidRPr="00B85000" w:rsidRDefault="00A07FA7" w:rsidP="004D7654">
            <w:pPr>
              <w:rPr>
                <w:sz w:val="24"/>
                <w:szCs w:val="24"/>
                <w:lang w:val="en-US"/>
              </w:rPr>
            </w:pPr>
          </w:p>
        </w:tc>
      </w:tr>
      <w:tr w:rsidR="004D7654" w:rsidRPr="008C5A43" w14:paraId="09542CA4" w14:textId="77777777" w:rsidTr="00284A07">
        <w:tc>
          <w:tcPr>
            <w:tcW w:w="562" w:type="dxa"/>
          </w:tcPr>
          <w:p w14:paraId="541EC7D1" w14:textId="3AC62633" w:rsidR="004D7654" w:rsidRPr="00652449" w:rsidRDefault="00142593" w:rsidP="00652449">
            <w:pPr>
              <w:spacing w:after="160" w:line="259" w:lineRule="auto"/>
              <w:rPr>
                <w:rFonts w:eastAsia="Times New Roman"/>
                <w:lang w:val="en-GB"/>
              </w:rPr>
            </w:pPr>
            <w:r w:rsidRPr="00652449">
              <w:rPr>
                <w:rFonts w:eastAsia="Times New Roman"/>
                <w:lang w:val="en-GB"/>
              </w:rPr>
              <w:t>22</w:t>
            </w:r>
          </w:p>
        </w:tc>
        <w:tc>
          <w:tcPr>
            <w:tcW w:w="4962" w:type="dxa"/>
          </w:tcPr>
          <w:p w14:paraId="3BE47C63" w14:textId="2177C84C" w:rsidR="004D7654" w:rsidRPr="006148CB" w:rsidRDefault="0081230D" w:rsidP="00A07FA7">
            <w:pPr>
              <w:spacing w:after="160" w:line="259" w:lineRule="auto"/>
              <w:rPr>
                <w:rFonts w:eastAsia="Times New Roman"/>
                <w:lang w:val="en-GB"/>
              </w:rPr>
            </w:pPr>
            <w:r w:rsidRPr="00A07FA7">
              <w:rPr>
                <w:rFonts w:eastAsia="Times New Roman"/>
                <w:lang w:val="en-GB"/>
              </w:rPr>
              <w:t>Annex D: Self Declaration..." is to be filled for supplier/contractor as well ? as it is mentioned only for "subcontractors or consortium parties...."</w:t>
            </w:r>
          </w:p>
        </w:tc>
        <w:tc>
          <w:tcPr>
            <w:tcW w:w="5244" w:type="dxa"/>
          </w:tcPr>
          <w:p w14:paraId="4784A52D" w14:textId="69DE3EA1" w:rsidR="004D7654" w:rsidRPr="00652449" w:rsidRDefault="00442DBA" w:rsidP="00652449">
            <w:pPr>
              <w:spacing w:after="160" w:line="259" w:lineRule="auto"/>
              <w:rPr>
                <w:rFonts w:eastAsia="Times New Roman"/>
                <w:lang w:val="en-GB"/>
              </w:rPr>
            </w:pPr>
            <w:r w:rsidRPr="00E730B5">
              <w:rPr>
                <w:rFonts w:eastAsia="Times New Roman"/>
                <w:lang w:val="en-GB"/>
              </w:rPr>
              <w:t>Refer to Section 3</w:t>
            </w:r>
            <w:r w:rsidR="0038159A" w:rsidRPr="00E730B5">
              <w:rPr>
                <w:rFonts w:eastAsia="Times New Roman"/>
                <w:lang w:val="en-GB"/>
              </w:rPr>
              <w:t>.3. In cases where the tender proposal is made by a consortium</w:t>
            </w:r>
            <w:r w:rsidR="0074074F" w:rsidRPr="00E730B5">
              <w:rPr>
                <w:rFonts w:eastAsia="Times New Roman"/>
                <w:lang w:val="en-GB"/>
              </w:rPr>
              <w:t>,</w:t>
            </w:r>
            <w:r w:rsidR="0038159A" w:rsidRPr="00E730B5">
              <w:rPr>
                <w:rFonts w:eastAsia="Times New Roman"/>
                <w:lang w:val="en-GB"/>
              </w:rPr>
              <w:t xml:space="preserve"> the Appendix D is to be completed for each consortium member</w:t>
            </w:r>
            <w:r w:rsidR="0071681B" w:rsidRPr="00E730B5">
              <w:rPr>
                <w:rFonts w:eastAsia="Times New Roman"/>
                <w:lang w:val="en-GB"/>
              </w:rPr>
              <w:t xml:space="preserve"> except for the Consortium Leader.</w:t>
            </w:r>
            <w:r w:rsidR="00E823B9" w:rsidRPr="00E730B5">
              <w:rPr>
                <w:rFonts w:eastAsia="Times New Roman"/>
                <w:lang w:val="en-GB"/>
              </w:rPr>
              <w:t xml:space="preserve"> It should also be completed for any </w:t>
            </w:r>
            <w:r w:rsidR="00C36327" w:rsidRPr="00E730B5">
              <w:rPr>
                <w:rFonts w:eastAsia="Times New Roman"/>
                <w:lang w:val="en-GB"/>
              </w:rPr>
              <w:t>entity</w:t>
            </w:r>
            <w:r w:rsidR="00E823B9" w:rsidRPr="00E730B5">
              <w:rPr>
                <w:rFonts w:eastAsia="Times New Roman"/>
                <w:lang w:val="en-GB"/>
              </w:rPr>
              <w:t xml:space="preserve"> that is a </w:t>
            </w:r>
            <w:r w:rsidR="0074074F" w:rsidRPr="00E730B5">
              <w:rPr>
                <w:rFonts w:eastAsia="Times New Roman"/>
                <w:lang w:val="en-GB"/>
              </w:rPr>
              <w:t>key subcontractor to the main supplier</w:t>
            </w:r>
            <w:r w:rsidR="0074074F" w:rsidRPr="007179CD">
              <w:rPr>
                <w:rFonts w:eastAsia="Times New Roman"/>
                <w:lang w:val="en-GB"/>
              </w:rPr>
              <w:t>.</w:t>
            </w:r>
          </w:p>
        </w:tc>
      </w:tr>
      <w:tr w:rsidR="004D7654" w:rsidRPr="008C5A43" w14:paraId="3BAD0311" w14:textId="77777777" w:rsidTr="00284A07">
        <w:tc>
          <w:tcPr>
            <w:tcW w:w="562" w:type="dxa"/>
          </w:tcPr>
          <w:p w14:paraId="68C856BC" w14:textId="446714E4" w:rsidR="004D7654" w:rsidRPr="00652449" w:rsidRDefault="00142593" w:rsidP="00652449">
            <w:pPr>
              <w:spacing w:after="160" w:line="259" w:lineRule="auto"/>
              <w:rPr>
                <w:rFonts w:eastAsia="Times New Roman"/>
                <w:lang w:val="en-GB"/>
              </w:rPr>
            </w:pPr>
            <w:r w:rsidRPr="00652449">
              <w:rPr>
                <w:rFonts w:eastAsia="Times New Roman"/>
                <w:lang w:val="en-GB"/>
              </w:rPr>
              <w:t>23</w:t>
            </w:r>
          </w:p>
        </w:tc>
        <w:tc>
          <w:tcPr>
            <w:tcW w:w="4962" w:type="dxa"/>
          </w:tcPr>
          <w:p w14:paraId="68B453F2" w14:textId="1E9AA651" w:rsidR="004D7654" w:rsidRPr="006148CB" w:rsidRDefault="004A700E" w:rsidP="00A07FA7">
            <w:pPr>
              <w:spacing w:after="160" w:line="259" w:lineRule="auto"/>
              <w:rPr>
                <w:rFonts w:eastAsia="Times New Roman"/>
                <w:lang w:val="en-GB"/>
              </w:rPr>
            </w:pPr>
            <w:r w:rsidRPr="00A07FA7">
              <w:rPr>
                <w:rFonts w:eastAsia="Times New Roman"/>
                <w:lang w:val="en-GB"/>
              </w:rPr>
              <w:t xml:space="preserve">Should we use </w:t>
            </w:r>
            <w:r w:rsidR="00981DBC" w:rsidRPr="00A07FA7">
              <w:rPr>
                <w:rFonts w:eastAsia="Times New Roman"/>
                <w:lang w:val="en-GB"/>
              </w:rPr>
              <w:t>any special</w:t>
            </w:r>
            <w:r w:rsidRPr="00A07FA7">
              <w:rPr>
                <w:rFonts w:eastAsia="Times New Roman"/>
                <w:lang w:val="en-GB"/>
              </w:rPr>
              <w:t xml:space="preserve"> form for </w:t>
            </w:r>
            <w:r w:rsidR="008C5E5B" w:rsidRPr="00A07FA7">
              <w:rPr>
                <w:rFonts w:eastAsia="Times New Roman"/>
                <w:lang w:val="en-GB"/>
              </w:rPr>
              <w:t>application?</w:t>
            </w:r>
            <w:r w:rsidRPr="00A07FA7">
              <w:rPr>
                <w:rFonts w:eastAsia="Times New Roman"/>
                <w:lang w:val="en-GB"/>
              </w:rPr>
              <w:t xml:space="preserve"> or we </w:t>
            </w:r>
            <w:proofErr w:type="gramStart"/>
            <w:r w:rsidRPr="00A07FA7">
              <w:rPr>
                <w:rFonts w:eastAsia="Times New Roman"/>
                <w:lang w:val="en-GB"/>
              </w:rPr>
              <w:t>have to</w:t>
            </w:r>
            <w:proofErr w:type="gramEnd"/>
            <w:r w:rsidRPr="00A07FA7">
              <w:rPr>
                <w:rFonts w:eastAsia="Times New Roman"/>
                <w:lang w:val="en-GB"/>
              </w:rPr>
              <w:t xml:space="preserve"> fill/respond </w:t>
            </w:r>
            <w:r w:rsidR="008C5E5B" w:rsidRPr="00A07FA7">
              <w:rPr>
                <w:rFonts w:eastAsia="Times New Roman"/>
                <w:lang w:val="en-GB"/>
              </w:rPr>
              <w:t>to only</w:t>
            </w:r>
            <w:r w:rsidRPr="00A07FA7">
              <w:rPr>
                <w:rFonts w:eastAsia="Times New Roman"/>
                <w:lang w:val="en-GB"/>
              </w:rPr>
              <w:t xml:space="preserve"> the documents that are in the web site ?;</w:t>
            </w:r>
          </w:p>
        </w:tc>
        <w:tc>
          <w:tcPr>
            <w:tcW w:w="5244" w:type="dxa"/>
          </w:tcPr>
          <w:p w14:paraId="69054919" w14:textId="3EA55307" w:rsidR="004D7654" w:rsidRPr="00652449" w:rsidRDefault="00CC3725" w:rsidP="00652449">
            <w:pPr>
              <w:spacing w:after="160" w:line="259" w:lineRule="auto"/>
              <w:rPr>
                <w:rFonts w:eastAsia="Times New Roman"/>
                <w:lang w:val="en-GB"/>
              </w:rPr>
            </w:pPr>
            <w:r w:rsidRPr="007179CD">
              <w:rPr>
                <w:rFonts w:eastAsia="Times New Roman"/>
                <w:lang w:val="en-GB"/>
              </w:rPr>
              <w:t>The tenderer should complete all relevant parts of the “Procurement Document” and annex any supporting documents.</w:t>
            </w:r>
          </w:p>
        </w:tc>
      </w:tr>
      <w:tr w:rsidR="004D7654" w:rsidRPr="008C5A43" w14:paraId="17C19D47" w14:textId="77777777" w:rsidTr="00284A07">
        <w:tc>
          <w:tcPr>
            <w:tcW w:w="562" w:type="dxa"/>
          </w:tcPr>
          <w:p w14:paraId="5DD5EF65" w14:textId="317CCEAC" w:rsidR="004D7654" w:rsidRPr="00652449" w:rsidRDefault="00142593" w:rsidP="00652449">
            <w:pPr>
              <w:spacing w:after="160" w:line="259" w:lineRule="auto"/>
              <w:rPr>
                <w:rFonts w:eastAsia="Times New Roman"/>
                <w:lang w:val="en-GB"/>
              </w:rPr>
            </w:pPr>
            <w:r w:rsidRPr="00652449">
              <w:rPr>
                <w:rFonts w:eastAsia="Times New Roman"/>
                <w:lang w:val="en-GB"/>
              </w:rPr>
              <w:t>24</w:t>
            </w:r>
          </w:p>
        </w:tc>
        <w:tc>
          <w:tcPr>
            <w:tcW w:w="4962" w:type="dxa"/>
          </w:tcPr>
          <w:p w14:paraId="6CD9F50F" w14:textId="3060EA30" w:rsidR="00981DBC" w:rsidRPr="00A07FA7" w:rsidRDefault="00981DBC" w:rsidP="00A07FA7">
            <w:pPr>
              <w:rPr>
                <w:rFonts w:eastAsia="Times New Roman"/>
                <w:lang w:val="en-GB"/>
              </w:rPr>
            </w:pPr>
            <w:r w:rsidRPr="00A07FA7">
              <w:rPr>
                <w:rFonts w:eastAsia="Times New Roman"/>
                <w:lang w:val="en-GB"/>
              </w:rPr>
              <w:t xml:space="preserve">. Should we use any special form for Approach to </w:t>
            </w:r>
            <w:r w:rsidR="008C5E5B" w:rsidRPr="00A07FA7">
              <w:rPr>
                <w:rFonts w:eastAsia="Times New Roman"/>
                <w:lang w:val="en-GB"/>
              </w:rPr>
              <w:t>assignment?</w:t>
            </w:r>
            <w:r w:rsidRPr="00A07FA7">
              <w:rPr>
                <w:rFonts w:eastAsia="Times New Roman"/>
                <w:lang w:val="en-GB"/>
              </w:rPr>
              <w:t xml:space="preserve"> or we </w:t>
            </w:r>
            <w:proofErr w:type="gramStart"/>
            <w:r w:rsidRPr="00A07FA7">
              <w:rPr>
                <w:rFonts w:eastAsia="Times New Roman"/>
                <w:lang w:val="en-GB"/>
              </w:rPr>
              <w:t>have to</w:t>
            </w:r>
            <w:proofErr w:type="gramEnd"/>
            <w:r w:rsidRPr="00A07FA7">
              <w:rPr>
                <w:rFonts w:eastAsia="Times New Roman"/>
                <w:lang w:val="en-GB"/>
              </w:rPr>
              <w:t xml:space="preserve"> draft our own or it is not needed as it is well described in Appendix  I:SCPA Programme Document"</w:t>
            </w:r>
          </w:p>
          <w:p w14:paraId="009B3052" w14:textId="77777777" w:rsidR="00981DBC" w:rsidRPr="00A07FA7" w:rsidRDefault="00981DBC" w:rsidP="00652449">
            <w:pPr>
              <w:spacing w:after="160" w:line="259" w:lineRule="auto"/>
              <w:rPr>
                <w:rFonts w:eastAsia="Times New Roman"/>
                <w:lang w:val="en-GB"/>
              </w:rPr>
            </w:pPr>
            <w:r w:rsidRPr="00A07FA7">
              <w:rPr>
                <w:rFonts w:eastAsia="Times New Roman"/>
                <w:lang w:val="en-GB"/>
              </w:rPr>
              <w:t> </w:t>
            </w:r>
          </w:p>
          <w:p w14:paraId="734DD705" w14:textId="77777777" w:rsidR="004D7654" w:rsidRPr="00A07FA7" w:rsidRDefault="004D7654" w:rsidP="00652449">
            <w:pPr>
              <w:spacing w:after="160" w:line="259" w:lineRule="auto"/>
              <w:rPr>
                <w:rFonts w:eastAsia="Times New Roman"/>
                <w:lang w:val="en-GB"/>
              </w:rPr>
            </w:pPr>
          </w:p>
        </w:tc>
        <w:tc>
          <w:tcPr>
            <w:tcW w:w="5244" w:type="dxa"/>
          </w:tcPr>
          <w:p w14:paraId="0C3ED926" w14:textId="396E09D4" w:rsidR="004D7654" w:rsidRPr="00652449" w:rsidRDefault="00353CAE" w:rsidP="00652449">
            <w:pPr>
              <w:spacing w:after="160" w:line="259" w:lineRule="auto"/>
              <w:rPr>
                <w:rFonts w:eastAsia="Times New Roman"/>
                <w:lang w:val="en-GB"/>
              </w:rPr>
            </w:pPr>
            <w:r w:rsidRPr="007179CD">
              <w:rPr>
                <w:rFonts w:eastAsia="Times New Roman"/>
                <w:lang w:val="en-GB"/>
              </w:rPr>
              <w:t>See Section 4.3 of the Procurement Document - Method for implementing the assignment.</w:t>
            </w:r>
            <w:r w:rsidR="00EF6AEE" w:rsidRPr="007179CD">
              <w:rPr>
                <w:rFonts w:eastAsia="Times New Roman"/>
                <w:lang w:val="en-GB"/>
              </w:rPr>
              <w:t xml:space="preserve"> This section must be completed</w:t>
            </w:r>
            <w:r w:rsidR="00706CF7" w:rsidRPr="007179CD">
              <w:rPr>
                <w:rFonts w:eastAsia="Times New Roman"/>
                <w:lang w:val="en-GB"/>
              </w:rPr>
              <w:t>/or added by an annex</w:t>
            </w:r>
            <w:r w:rsidR="00EF6AEE" w:rsidRPr="007179CD">
              <w:rPr>
                <w:rFonts w:eastAsia="Times New Roman"/>
                <w:lang w:val="en-GB"/>
              </w:rPr>
              <w:t xml:space="preserve"> </w:t>
            </w:r>
            <w:r w:rsidR="00706CF7" w:rsidRPr="007179CD">
              <w:rPr>
                <w:rFonts w:eastAsia="Times New Roman"/>
                <w:lang w:val="en-GB"/>
              </w:rPr>
              <w:t xml:space="preserve">and completed </w:t>
            </w:r>
            <w:r w:rsidR="00EF6AEE" w:rsidRPr="007179CD">
              <w:rPr>
                <w:rFonts w:eastAsia="Times New Roman"/>
                <w:lang w:val="en-GB"/>
              </w:rPr>
              <w:t>by the tenderer</w:t>
            </w:r>
            <w:r w:rsidR="00706CF7" w:rsidRPr="007179CD">
              <w:rPr>
                <w:rFonts w:eastAsia="Times New Roman"/>
                <w:lang w:val="en-GB"/>
              </w:rPr>
              <w:t>.</w:t>
            </w:r>
          </w:p>
        </w:tc>
      </w:tr>
      <w:tr w:rsidR="00B601F0" w:rsidRPr="008C5A43" w14:paraId="28ABEFE6" w14:textId="77777777" w:rsidTr="00284A07">
        <w:tc>
          <w:tcPr>
            <w:tcW w:w="562" w:type="dxa"/>
          </w:tcPr>
          <w:p w14:paraId="034F1436" w14:textId="63853060" w:rsidR="00B601F0" w:rsidRPr="00652449" w:rsidRDefault="00142593" w:rsidP="00652449">
            <w:pPr>
              <w:spacing w:after="160" w:line="259" w:lineRule="auto"/>
              <w:rPr>
                <w:rFonts w:eastAsia="Times New Roman"/>
                <w:lang w:val="en-GB"/>
              </w:rPr>
            </w:pPr>
            <w:r w:rsidRPr="00652449">
              <w:rPr>
                <w:rFonts w:eastAsia="Times New Roman"/>
                <w:lang w:val="en-GB"/>
              </w:rPr>
              <w:t>25</w:t>
            </w:r>
          </w:p>
        </w:tc>
        <w:tc>
          <w:tcPr>
            <w:tcW w:w="4962" w:type="dxa"/>
          </w:tcPr>
          <w:p w14:paraId="43C97427" w14:textId="7777D652" w:rsidR="00981DBC" w:rsidRPr="00A07FA7" w:rsidRDefault="00981DBC" w:rsidP="00A07FA7">
            <w:pPr>
              <w:rPr>
                <w:rFonts w:eastAsia="Times New Roman"/>
                <w:lang w:val="en-GB"/>
              </w:rPr>
            </w:pPr>
            <w:r w:rsidRPr="00A07FA7">
              <w:rPr>
                <w:rFonts w:eastAsia="Times New Roman"/>
                <w:lang w:val="en-GB"/>
              </w:rPr>
              <w:t>Should we use any special form for Price /</w:t>
            </w:r>
            <w:proofErr w:type="gramStart"/>
            <w:r w:rsidRPr="00A07FA7">
              <w:rPr>
                <w:rFonts w:eastAsia="Times New Roman"/>
                <w:lang w:val="en-GB"/>
              </w:rPr>
              <w:t>Budget</w:t>
            </w:r>
            <w:proofErr w:type="gramEnd"/>
            <w:r w:rsidRPr="00A07FA7">
              <w:rPr>
                <w:rFonts w:eastAsia="Times New Roman"/>
                <w:lang w:val="en-GB"/>
              </w:rPr>
              <w:t xml:space="preserve"> or we have to fill it only in the form of Draft Contract (Appendix B)?</w:t>
            </w:r>
          </w:p>
          <w:p w14:paraId="0BC70D99" w14:textId="69B2375A" w:rsidR="00B601F0" w:rsidRPr="00A07FA7" w:rsidRDefault="00B601F0" w:rsidP="00652449">
            <w:pPr>
              <w:spacing w:after="160" w:line="259" w:lineRule="auto"/>
              <w:rPr>
                <w:rFonts w:eastAsia="Times New Roman"/>
                <w:lang w:val="en-GB"/>
              </w:rPr>
            </w:pPr>
          </w:p>
        </w:tc>
        <w:tc>
          <w:tcPr>
            <w:tcW w:w="5244" w:type="dxa"/>
          </w:tcPr>
          <w:p w14:paraId="28A3ACC8" w14:textId="77777777" w:rsidR="00425A35" w:rsidRPr="007179CD" w:rsidRDefault="00425A35" w:rsidP="00425A35">
            <w:pPr>
              <w:rPr>
                <w:rFonts w:eastAsia="Times New Roman"/>
                <w:lang w:val="en-GB"/>
              </w:rPr>
            </w:pPr>
            <w:r w:rsidRPr="007179CD">
              <w:rPr>
                <w:rFonts w:eastAsia="Times New Roman"/>
                <w:lang w:val="en-GB"/>
              </w:rPr>
              <w:t>See Section 6.1 of the Procurement Document -Fees and expenses.</w:t>
            </w:r>
          </w:p>
          <w:p w14:paraId="6E615FFA" w14:textId="2A282DFA" w:rsidR="00B601F0" w:rsidRPr="00652449" w:rsidRDefault="00425A35" w:rsidP="00425A35">
            <w:pPr>
              <w:spacing w:after="160" w:line="259" w:lineRule="auto"/>
              <w:rPr>
                <w:rFonts w:eastAsia="Times New Roman"/>
                <w:lang w:val="en-GB"/>
              </w:rPr>
            </w:pPr>
            <w:r w:rsidRPr="007179CD">
              <w:rPr>
                <w:rFonts w:eastAsia="Times New Roman"/>
                <w:lang w:val="en-GB"/>
              </w:rPr>
              <w:t>You should not fill in the draft contract.</w:t>
            </w:r>
          </w:p>
        </w:tc>
      </w:tr>
      <w:tr w:rsidR="005A06B6" w:rsidRPr="008C5A43" w14:paraId="2FBDA03A" w14:textId="77777777" w:rsidTr="00284A07">
        <w:tc>
          <w:tcPr>
            <w:tcW w:w="562" w:type="dxa"/>
          </w:tcPr>
          <w:p w14:paraId="3CD6A287" w14:textId="28BEEB9C" w:rsidR="005A06B6" w:rsidRPr="00652449" w:rsidRDefault="002B3D98" w:rsidP="00652449">
            <w:pPr>
              <w:spacing w:after="160" w:line="259" w:lineRule="auto"/>
              <w:rPr>
                <w:rFonts w:eastAsia="Times New Roman"/>
                <w:lang w:val="en-GB"/>
              </w:rPr>
            </w:pPr>
            <w:r w:rsidRPr="00652449">
              <w:rPr>
                <w:rFonts w:eastAsia="Times New Roman"/>
                <w:lang w:val="en-GB"/>
              </w:rPr>
              <w:t>26</w:t>
            </w:r>
          </w:p>
        </w:tc>
        <w:tc>
          <w:tcPr>
            <w:tcW w:w="4962" w:type="dxa"/>
          </w:tcPr>
          <w:p w14:paraId="0A3E03CC" w14:textId="77777777" w:rsidR="005430A5" w:rsidRPr="00A07FA7" w:rsidRDefault="005430A5" w:rsidP="00A07FA7">
            <w:pPr>
              <w:rPr>
                <w:rFonts w:eastAsia="Times New Roman"/>
                <w:lang w:val="en-GB"/>
              </w:rPr>
            </w:pPr>
            <w:r w:rsidRPr="00A07FA7">
              <w:rPr>
                <w:rFonts w:eastAsia="Times New Roman"/>
                <w:lang w:val="en-GB"/>
              </w:rPr>
              <w:t>Can you confirm what costs are Reimbursable? We need to understand which costs are considered direct reimbursable costs and which need to be included in our overhead figure.</w:t>
            </w:r>
          </w:p>
          <w:p w14:paraId="08245B3D" w14:textId="77777777" w:rsidR="005430A5" w:rsidRPr="00A07FA7" w:rsidRDefault="005430A5" w:rsidP="00652449">
            <w:pPr>
              <w:spacing w:after="160" w:line="259" w:lineRule="auto"/>
              <w:rPr>
                <w:rFonts w:eastAsia="Times New Roman"/>
                <w:lang w:val="en-GB"/>
              </w:rPr>
            </w:pPr>
            <w:r w:rsidRPr="00A07FA7">
              <w:rPr>
                <w:rFonts w:eastAsia="Times New Roman"/>
                <w:lang w:val="en-GB"/>
              </w:rPr>
              <w:t>Draft contract states: The Supplier is entitled to compensation for expenses in accordance with the General Conditions.</w:t>
            </w:r>
          </w:p>
          <w:p w14:paraId="75CCFA7D" w14:textId="77777777" w:rsidR="005430A5" w:rsidRPr="00A07FA7" w:rsidRDefault="005430A5" w:rsidP="00652449">
            <w:pPr>
              <w:spacing w:after="160" w:line="259" w:lineRule="auto"/>
              <w:rPr>
                <w:rFonts w:eastAsia="Times New Roman"/>
                <w:lang w:val="en-GB"/>
              </w:rPr>
            </w:pPr>
            <w:r w:rsidRPr="00A07FA7">
              <w:rPr>
                <w:rFonts w:eastAsia="Times New Roman"/>
                <w:lang w:val="en-GB"/>
              </w:rPr>
              <w:t>In addition to this, the Supplier is entitled to reimbursement for [enter expenses].</w:t>
            </w:r>
          </w:p>
          <w:p w14:paraId="53B28A9D" w14:textId="77777777" w:rsidR="005430A5" w:rsidRPr="00A07FA7" w:rsidRDefault="005430A5" w:rsidP="00652449">
            <w:pPr>
              <w:spacing w:after="160" w:line="259" w:lineRule="auto"/>
              <w:rPr>
                <w:rFonts w:eastAsia="Times New Roman"/>
                <w:lang w:val="en-GB"/>
              </w:rPr>
            </w:pPr>
            <w:r w:rsidRPr="00A07FA7">
              <w:rPr>
                <w:rFonts w:eastAsia="Times New Roman"/>
                <w:lang w:val="en-GB"/>
              </w:rPr>
              <w:t xml:space="preserve">General Conditions state: Expenses that are not explicitly reimbursable under the Agreement are not </w:t>
            </w:r>
            <w:proofErr w:type="gramStart"/>
            <w:r w:rsidRPr="00A07FA7">
              <w:rPr>
                <w:rFonts w:eastAsia="Times New Roman"/>
                <w:lang w:val="en-GB"/>
              </w:rPr>
              <w:t>reimbursed, but</w:t>
            </w:r>
            <w:proofErr w:type="gramEnd"/>
            <w:r w:rsidRPr="00A07FA7">
              <w:rPr>
                <w:rFonts w:eastAsia="Times New Roman"/>
                <w:lang w:val="en-GB"/>
              </w:rPr>
              <w:t xml:space="preserve"> are included in the fee.</w:t>
            </w:r>
          </w:p>
          <w:p w14:paraId="1125EAD7" w14:textId="695F4AAA" w:rsidR="005A06B6" w:rsidRPr="00A07FA7" w:rsidRDefault="005430A5" w:rsidP="002579E4">
            <w:pPr>
              <w:spacing w:after="160" w:line="259" w:lineRule="auto"/>
              <w:rPr>
                <w:rFonts w:eastAsia="Times New Roman"/>
                <w:lang w:val="en-GB"/>
              </w:rPr>
            </w:pPr>
            <w:r w:rsidRPr="00A07FA7">
              <w:rPr>
                <w:rFonts w:eastAsia="Times New Roman"/>
                <w:lang w:val="en-GB"/>
              </w:rPr>
              <w:t> We appreciate Travel, per diems and accommodation are listed on the Procurement document as Reimbursable.</w:t>
            </w:r>
          </w:p>
        </w:tc>
        <w:tc>
          <w:tcPr>
            <w:tcW w:w="5244" w:type="dxa"/>
          </w:tcPr>
          <w:p w14:paraId="76AEECC1" w14:textId="10891598" w:rsidR="001735E6" w:rsidRPr="007179CD" w:rsidRDefault="002579E4" w:rsidP="00652449">
            <w:pPr>
              <w:spacing w:after="160" w:line="259" w:lineRule="auto"/>
              <w:rPr>
                <w:rFonts w:eastAsia="Times New Roman"/>
                <w:lang w:val="en-GB"/>
              </w:rPr>
            </w:pPr>
            <w:r w:rsidRPr="007179CD">
              <w:rPr>
                <w:rFonts w:eastAsia="Times New Roman"/>
                <w:lang w:val="en-GB"/>
              </w:rPr>
              <w:t>See the reply to Question no. 30 below.</w:t>
            </w:r>
          </w:p>
        </w:tc>
      </w:tr>
      <w:tr w:rsidR="005A06B6" w:rsidRPr="00B77148" w14:paraId="426EC3CC" w14:textId="77777777" w:rsidTr="00284A07">
        <w:tc>
          <w:tcPr>
            <w:tcW w:w="562" w:type="dxa"/>
          </w:tcPr>
          <w:p w14:paraId="6AF4C440" w14:textId="18ED0615" w:rsidR="005A06B6" w:rsidRPr="00652449" w:rsidRDefault="002B3D98" w:rsidP="00652449">
            <w:pPr>
              <w:spacing w:after="160" w:line="259" w:lineRule="auto"/>
              <w:rPr>
                <w:rFonts w:eastAsia="Times New Roman"/>
                <w:lang w:val="en-GB"/>
              </w:rPr>
            </w:pPr>
            <w:r w:rsidRPr="00652449">
              <w:rPr>
                <w:rFonts w:eastAsia="Times New Roman"/>
                <w:lang w:val="en-GB"/>
              </w:rPr>
              <w:t>27</w:t>
            </w:r>
          </w:p>
        </w:tc>
        <w:tc>
          <w:tcPr>
            <w:tcW w:w="4962" w:type="dxa"/>
          </w:tcPr>
          <w:p w14:paraId="4B19C156" w14:textId="009C58DC" w:rsidR="005A06B6" w:rsidRPr="00A07FA7" w:rsidRDefault="00051D6C" w:rsidP="00652449">
            <w:pPr>
              <w:spacing w:after="160" w:line="259" w:lineRule="auto"/>
              <w:rPr>
                <w:rFonts w:eastAsia="Times New Roman"/>
                <w:lang w:val="en-GB"/>
              </w:rPr>
            </w:pPr>
            <w:r w:rsidRPr="00A07FA7">
              <w:rPr>
                <w:rFonts w:eastAsia="Times New Roman"/>
                <w:lang w:val="en-GB"/>
              </w:rPr>
              <w:t>Can you confirm that Appendix M of the Programme Document, mentioned in section 6.1 of the Procurement Document is Annex D of the Programme Document (Appendix I)?</w:t>
            </w:r>
          </w:p>
        </w:tc>
        <w:tc>
          <w:tcPr>
            <w:tcW w:w="5244" w:type="dxa"/>
          </w:tcPr>
          <w:p w14:paraId="195E64FD" w14:textId="77777777" w:rsidR="005A06B6" w:rsidRDefault="00A1116A" w:rsidP="00652449">
            <w:pPr>
              <w:spacing w:after="160" w:line="259" w:lineRule="auto"/>
              <w:rPr>
                <w:rFonts w:eastAsia="Times New Roman"/>
                <w:lang w:val="en-GB"/>
              </w:rPr>
            </w:pPr>
            <w:r w:rsidRPr="008B5E4A">
              <w:rPr>
                <w:rFonts w:eastAsia="Times New Roman"/>
                <w:lang w:val="en-GB"/>
              </w:rPr>
              <w:t xml:space="preserve">Yes. </w:t>
            </w:r>
            <w:r w:rsidR="00B77148" w:rsidRPr="008B5E4A">
              <w:rPr>
                <w:rFonts w:eastAsia="Times New Roman"/>
                <w:lang w:val="en-GB"/>
              </w:rPr>
              <w:t xml:space="preserve">The </w:t>
            </w:r>
            <w:r w:rsidRPr="008B5E4A">
              <w:rPr>
                <w:rFonts w:eastAsia="Times New Roman"/>
                <w:lang w:val="en-GB"/>
              </w:rPr>
              <w:t>Programme</w:t>
            </w:r>
            <w:r w:rsidR="00B77148" w:rsidRPr="008B5E4A">
              <w:rPr>
                <w:rFonts w:eastAsia="Times New Roman"/>
                <w:lang w:val="en-GB"/>
              </w:rPr>
              <w:t xml:space="preserve"> Budget can be found at Annex D of the </w:t>
            </w:r>
            <w:r w:rsidRPr="008B5E4A">
              <w:rPr>
                <w:rFonts w:eastAsia="Times New Roman"/>
                <w:lang w:val="en-GB"/>
              </w:rPr>
              <w:t>Programme Document</w:t>
            </w:r>
            <w:r w:rsidR="001C08F2" w:rsidRPr="008B5E4A">
              <w:rPr>
                <w:rFonts w:eastAsia="Times New Roman"/>
                <w:lang w:val="en-GB"/>
              </w:rPr>
              <w:t>. (</w:t>
            </w:r>
            <w:r w:rsidR="004B1D90" w:rsidRPr="008B5E4A">
              <w:rPr>
                <w:rFonts w:eastAsia="Times New Roman"/>
                <w:lang w:val="en-GB"/>
              </w:rPr>
              <w:t xml:space="preserve">Appendix </w:t>
            </w:r>
            <w:r w:rsidR="001C08F2" w:rsidRPr="008B5E4A">
              <w:rPr>
                <w:rFonts w:eastAsia="Times New Roman"/>
                <w:lang w:val="en-GB"/>
              </w:rPr>
              <w:t xml:space="preserve">I of the Procurement Document). </w:t>
            </w:r>
          </w:p>
          <w:p w14:paraId="5974BE2F" w14:textId="77777777" w:rsidR="001419F4" w:rsidRDefault="001419F4" w:rsidP="00652449">
            <w:pPr>
              <w:spacing w:after="160" w:line="259" w:lineRule="auto"/>
              <w:rPr>
                <w:rFonts w:eastAsia="Times New Roman"/>
                <w:lang w:val="en-GB"/>
              </w:rPr>
            </w:pPr>
          </w:p>
          <w:p w14:paraId="361AEFD0" w14:textId="1020A2FF" w:rsidR="001419F4" w:rsidRPr="00652449" w:rsidRDefault="001419F4" w:rsidP="00652449">
            <w:pPr>
              <w:spacing w:after="160" w:line="259" w:lineRule="auto"/>
              <w:rPr>
                <w:rFonts w:eastAsia="Times New Roman"/>
                <w:lang w:val="en-GB"/>
              </w:rPr>
            </w:pPr>
          </w:p>
        </w:tc>
      </w:tr>
      <w:tr w:rsidR="005A06B6" w:rsidRPr="008C5A43" w14:paraId="1278F501" w14:textId="77777777" w:rsidTr="00284A07">
        <w:tc>
          <w:tcPr>
            <w:tcW w:w="562" w:type="dxa"/>
          </w:tcPr>
          <w:p w14:paraId="3F7D1150" w14:textId="557ED23C" w:rsidR="005A06B6" w:rsidRPr="00652449" w:rsidRDefault="002B3D98" w:rsidP="00652449">
            <w:pPr>
              <w:spacing w:after="160" w:line="259" w:lineRule="auto"/>
              <w:rPr>
                <w:rFonts w:eastAsia="Times New Roman"/>
                <w:lang w:val="en-GB"/>
              </w:rPr>
            </w:pPr>
            <w:r w:rsidRPr="00652449">
              <w:rPr>
                <w:rFonts w:eastAsia="Times New Roman"/>
                <w:lang w:val="en-GB"/>
              </w:rPr>
              <w:t>28</w:t>
            </w:r>
          </w:p>
        </w:tc>
        <w:tc>
          <w:tcPr>
            <w:tcW w:w="4962" w:type="dxa"/>
          </w:tcPr>
          <w:p w14:paraId="6153E83A" w14:textId="77777777" w:rsidR="00D274A0" w:rsidRPr="004270AA" w:rsidRDefault="00D274A0" w:rsidP="00A07FA7">
            <w:pPr>
              <w:rPr>
                <w:rFonts w:eastAsia="Times New Roman"/>
                <w:lang w:val="en-GB"/>
              </w:rPr>
            </w:pPr>
            <w:r w:rsidRPr="004270AA">
              <w:rPr>
                <w:rFonts w:eastAsia="Times New Roman"/>
                <w:lang w:val="en-GB"/>
              </w:rPr>
              <w:t>We note the response to CQ 3 and that section 6.1 of the Procurement Document to be used for the budget template. Can we clarify there is no requirement to submit a template as shown in Annex D of Appendix I (Programme Document)?</w:t>
            </w:r>
          </w:p>
          <w:p w14:paraId="3C0E1117" w14:textId="77777777" w:rsidR="005A06B6" w:rsidRPr="00A07FA7" w:rsidRDefault="005A06B6" w:rsidP="00652449">
            <w:pPr>
              <w:rPr>
                <w:rFonts w:eastAsia="Times New Roman"/>
                <w:lang w:val="en-GB"/>
              </w:rPr>
            </w:pPr>
          </w:p>
        </w:tc>
        <w:tc>
          <w:tcPr>
            <w:tcW w:w="5244" w:type="dxa"/>
          </w:tcPr>
          <w:p w14:paraId="02B26FD5" w14:textId="504E1249" w:rsidR="005A06B6" w:rsidRPr="00652449" w:rsidRDefault="00A83547" w:rsidP="00652449">
            <w:pPr>
              <w:spacing w:after="160" w:line="259" w:lineRule="auto"/>
              <w:rPr>
                <w:rFonts w:eastAsia="Times New Roman"/>
                <w:lang w:val="en-GB"/>
              </w:rPr>
            </w:pPr>
            <w:r>
              <w:rPr>
                <w:rFonts w:eastAsia="Times New Roman"/>
                <w:lang w:val="en-GB"/>
              </w:rPr>
              <w:t xml:space="preserve">There is no requirement to submit </w:t>
            </w:r>
            <w:r w:rsidR="00743DA0">
              <w:rPr>
                <w:rFonts w:eastAsia="Times New Roman"/>
                <w:lang w:val="en-GB"/>
              </w:rPr>
              <w:t xml:space="preserve">a template </w:t>
            </w:r>
          </w:p>
        </w:tc>
      </w:tr>
      <w:tr w:rsidR="00D274A0" w:rsidRPr="008C5A43" w14:paraId="65C3C63C" w14:textId="77777777" w:rsidTr="00284A07">
        <w:tc>
          <w:tcPr>
            <w:tcW w:w="562" w:type="dxa"/>
          </w:tcPr>
          <w:p w14:paraId="127C26BB" w14:textId="228C5A01" w:rsidR="00D274A0" w:rsidRPr="00652449" w:rsidRDefault="002B3D98" w:rsidP="00652449">
            <w:pPr>
              <w:spacing w:after="160" w:line="259" w:lineRule="auto"/>
              <w:rPr>
                <w:rFonts w:eastAsia="Times New Roman"/>
                <w:lang w:val="en-GB"/>
              </w:rPr>
            </w:pPr>
            <w:r w:rsidRPr="00652449">
              <w:rPr>
                <w:rFonts w:eastAsia="Times New Roman"/>
                <w:lang w:val="en-GB"/>
              </w:rPr>
              <w:t>29</w:t>
            </w:r>
          </w:p>
        </w:tc>
        <w:tc>
          <w:tcPr>
            <w:tcW w:w="4962" w:type="dxa"/>
          </w:tcPr>
          <w:p w14:paraId="7CDF3F2B" w14:textId="77777777" w:rsidR="00466CBE" w:rsidRPr="004270AA" w:rsidRDefault="00466CBE" w:rsidP="00A07FA7">
            <w:pPr>
              <w:rPr>
                <w:rFonts w:eastAsia="Times New Roman"/>
                <w:lang w:val="en-GB"/>
              </w:rPr>
            </w:pPr>
            <w:r w:rsidRPr="004270AA">
              <w:rPr>
                <w:rFonts w:eastAsia="Times New Roman"/>
                <w:lang w:val="en-GB"/>
              </w:rPr>
              <w:t xml:space="preserve">2.3 of the </w:t>
            </w:r>
            <w:proofErr w:type="spellStart"/>
            <w:r w:rsidRPr="004270AA">
              <w:rPr>
                <w:rFonts w:eastAsia="Times New Roman"/>
                <w:lang w:val="en-GB"/>
              </w:rPr>
              <w:t>ToR</w:t>
            </w:r>
            <w:proofErr w:type="spellEnd"/>
            <w:r w:rsidRPr="004270AA">
              <w:rPr>
                <w:rFonts w:eastAsia="Times New Roman"/>
                <w:lang w:val="en-GB"/>
              </w:rPr>
              <w:t xml:space="preserve"> states that </w:t>
            </w:r>
            <w:r w:rsidRPr="00A07FA7">
              <w:rPr>
                <w:rFonts w:eastAsia="Times New Roman"/>
                <w:lang w:val="en-GB"/>
              </w:rPr>
              <w:t xml:space="preserve">‘this overall budget includes both, the consultancy cost as well as procurement of goods and/or works to be executed by the consultant during the program period.’ Can you confirm what is considered goods and/or works? </w:t>
            </w:r>
          </w:p>
          <w:p w14:paraId="3FE6840A" w14:textId="77777777" w:rsidR="00D274A0" w:rsidRPr="00A07FA7" w:rsidRDefault="00D274A0" w:rsidP="00652449">
            <w:pPr>
              <w:rPr>
                <w:rFonts w:eastAsia="Times New Roman"/>
                <w:lang w:val="en-GB"/>
              </w:rPr>
            </w:pPr>
          </w:p>
        </w:tc>
        <w:tc>
          <w:tcPr>
            <w:tcW w:w="5244" w:type="dxa"/>
          </w:tcPr>
          <w:p w14:paraId="09643EA4" w14:textId="05B7EE52" w:rsidR="000A18F2" w:rsidRPr="00652449" w:rsidRDefault="00EA392F" w:rsidP="00652449">
            <w:pPr>
              <w:spacing w:after="160" w:line="259" w:lineRule="auto"/>
              <w:rPr>
                <w:rFonts w:eastAsia="Times New Roman"/>
                <w:lang w:val="en-GB"/>
              </w:rPr>
            </w:pPr>
            <w:r w:rsidRPr="00EA392F">
              <w:rPr>
                <w:rFonts w:eastAsia="Times New Roman"/>
                <w:lang w:val="en-GB"/>
              </w:rPr>
              <w:t>Yes,</w:t>
            </w:r>
            <w:r w:rsidR="005D2D0A" w:rsidRPr="007179CD">
              <w:rPr>
                <w:rFonts w:eastAsia="Times New Roman"/>
                <w:lang w:val="en-GB"/>
              </w:rPr>
              <w:t xml:space="preserve"> and for further information s</w:t>
            </w:r>
            <w:r w:rsidR="00693740" w:rsidRPr="007179CD">
              <w:rPr>
                <w:rFonts w:eastAsia="Times New Roman"/>
                <w:lang w:val="en-GB"/>
              </w:rPr>
              <w:t xml:space="preserve">ee </w:t>
            </w:r>
            <w:r w:rsidR="008B5E4A" w:rsidRPr="007179CD">
              <w:rPr>
                <w:rFonts w:eastAsia="Times New Roman"/>
                <w:lang w:val="en-GB"/>
              </w:rPr>
              <w:t xml:space="preserve">the </w:t>
            </w:r>
            <w:r w:rsidR="00693740" w:rsidRPr="007179CD">
              <w:rPr>
                <w:rFonts w:eastAsia="Times New Roman"/>
                <w:lang w:val="en-GB"/>
              </w:rPr>
              <w:t>reply to Question no</w:t>
            </w:r>
            <w:r w:rsidR="008B5E4A" w:rsidRPr="007179CD">
              <w:rPr>
                <w:rFonts w:eastAsia="Times New Roman"/>
                <w:lang w:val="en-GB"/>
              </w:rPr>
              <w:t>.</w:t>
            </w:r>
            <w:r w:rsidR="00693740" w:rsidRPr="007179CD">
              <w:rPr>
                <w:rFonts w:eastAsia="Times New Roman"/>
                <w:lang w:val="en-GB"/>
              </w:rPr>
              <w:t xml:space="preserve"> </w:t>
            </w:r>
            <w:r w:rsidR="008B5E4A" w:rsidRPr="007179CD">
              <w:rPr>
                <w:rFonts w:eastAsia="Times New Roman"/>
                <w:lang w:val="en-GB"/>
              </w:rPr>
              <w:t>30 below.</w:t>
            </w:r>
          </w:p>
        </w:tc>
      </w:tr>
      <w:tr w:rsidR="00D274A0" w:rsidRPr="008C5A43" w14:paraId="35B4D98E" w14:textId="77777777" w:rsidTr="00284A07">
        <w:tc>
          <w:tcPr>
            <w:tcW w:w="562" w:type="dxa"/>
          </w:tcPr>
          <w:p w14:paraId="1A42CA8D" w14:textId="408C50E9" w:rsidR="00D274A0" w:rsidRPr="00652449" w:rsidRDefault="002B3D98" w:rsidP="00652449">
            <w:pPr>
              <w:spacing w:after="160" w:line="259" w:lineRule="auto"/>
              <w:rPr>
                <w:rFonts w:eastAsia="Times New Roman"/>
                <w:lang w:val="en-GB"/>
              </w:rPr>
            </w:pPr>
            <w:r w:rsidRPr="00652449">
              <w:rPr>
                <w:rFonts w:eastAsia="Times New Roman"/>
                <w:lang w:val="en-GB"/>
              </w:rPr>
              <w:t>30</w:t>
            </w:r>
          </w:p>
        </w:tc>
        <w:tc>
          <w:tcPr>
            <w:tcW w:w="4962" w:type="dxa"/>
          </w:tcPr>
          <w:p w14:paraId="670B38AF" w14:textId="77777777" w:rsidR="00C3472A" w:rsidRPr="004270AA" w:rsidRDefault="00C3472A" w:rsidP="00A07FA7">
            <w:pPr>
              <w:rPr>
                <w:rFonts w:eastAsia="Times New Roman"/>
                <w:lang w:val="en-GB"/>
              </w:rPr>
            </w:pPr>
            <w:r w:rsidRPr="004270AA">
              <w:rPr>
                <w:rFonts w:eastAsia="Times New Roman"/>
                <w:lang w:val="en-GB"/>
              </w:rPr>
              <w:t>CQ 9 Asks if an STE pool should be budgeted for. We understand that the answer is ‘no provision for STE’s is to be included in the financial proposal.’ However, having reviewed Annex D of Appendix I, the indicative budget, we’re unclear as to how the first 9 lines are made up – what do these costs include?</w:t>
            </w:r>
          </w:p>
          <w:p w14:paraId="348A78C0" w14:textId="77777777" w:rsidR="00C3472A" w:rsidRPr="00A07FA7" w:rsidRDefault="00C3472A" w:rsidP="00652449">
            <w:pPr>
              <w:spacing w:after="160" w:line="259" w:lineRule="auto"/>
              <w:rPr>
                <w:rFonts w:eastAsia="Times New Roman"/>
                <w:lang w:val="en-GB"/>
              </w:rPr>
            </w:pPr>
            <w:r w:rsidRPr="00A07FA7">
              <w:rPr>
                <w:rFonts w:eastAsia="Times New Roman"/>
                <w:lang w:val="en-GB"/>
              </w:rPr>
              <w:t xml:space="preserve">Do these costs include the provision of any STE’s beyond the 4 roles and 2 supporting roles foreseen in section 6.1 of the procurement document and/or do they include the provision of goods i.e. </w:t>
            </w:r>
            <w:proofErr w:type="spellStart"/>
            <w:r w:rsidRPr="00A07FA7">
              <w:rPr>
                <w:rFonts w:eastAsia="Times New Roman"/>
                <w:lang w:val="en-GB"/>
              </w:rPr>
              <w:t>bodyworn</w:t>
            </w:r>
            <w:proofErr w:type="spellEnd"/>
            <w:r w:rsidRPr="00A07FA7">
              <w:rPr>
                <w:rFonts w:eastAsia="Times New Roman"/>
                <w:lang w:val="en-GB"/>
              </w:rPr>
              <w:t xml:space="preserve"> cameras?</w:t>
            </w:r>
          </w:p>
          <w:p w14:paraId="0F614A7C" w14:textId="77777777" w:rsidR="00D274A0" w:rsidRPr="00A07FA7" w:rsidRDefault="00D274A0" w:rsidP="00652449">
            <w:pPr>
              <w:rPr>
                <w:rFonts w:eastAsia="Times New Roman"/>
                <w:lang w:val="en-GB"/>
              </w:rPr>
            </w:pPr>
          </w:p>
        </w:tc>
        <w:tc>
          <w:tcPr>
            <w:tcW w:w="5244" w:type="dxa"/>
          </w:tcPr>
          <w:p w14:paraId="6ADB2AA0" w14:textId="7C3E8159" w:rsidR="00C86BF1" w:rsidRPr="007179CD" w:rsidRDefault="008A235E" w:rsidP="00652449">
            <w:pPr>
              <w:spacing w:after="160" w:line="259" w:lineRule="auto"/>
              <w:rPr>
                <w:rFonts w:eastAsia="Times New Roman"/>
                <w:b/>
                <w:bCs/>
                <w:lang w:val="en-GB"/>
              </w:rPr>
            </w:pPr>
            <w:r w:rsidRPr="007179CD">
              <w:rPr>
                <w:rFonts w:eastAsia="Times New Roman"/>
                <w:b/>
                <w:bCs/>
                <w:lang w:val="en-GB"/>
              </w:rPr>
              <w:t xml:space="preserve">The information in the Annex D Budget is for guidance. </w:t>
            </w:r>
          </w:p>
          <w:p w14:paraId="4CC2889E" w14:textId="0EA7395F" w:rsidR="00BD1265" w:rsidRDefault="00BD1265" w:rsidP="00652449">
            <w:pPr>
              <w:spacing w:after="160" w:line="259" w:lineRule="auto"/>
              <w:rPr>
                <w:rFonts w:eastAsia="Times New Roman"/>
                <w:lang w:val="en-GB"/>
              </w:rPr>
            </w:pPr>
            <w:r w:rsidRPr="007179CD">
              <w:rPr>
                <w:rFonts w:eastAsia="Times New Roman"/>
                <w:lang w:val="en-GB"/>
              </w:rPr>
              <w:t>The total</w:t>
            </w:r>
            <w:r>
              <w:rPr>
                <w:rFonts w:eastAsia="Times New Roman"/>
                <w:lang w:val="en-GB"/>
              </w:rPr>
              <w:t xml:space="preserve"> financial</w:t>
            </w:r>
            <w:r w:rsidRPr="007179CD">
              <w:rPr>
                <w:rFonts w:eastAsia="Times New Roman"/>
                <w:lang w:val="en-GB"/>
              </w:rPr>
              <w:t xml:space="preserve"> proposal</w:t>
            </w:r>
            <w:r>
              <w:rPr>
                <w:rFonts w:eastAsia="Times New Roman"/>
                <w:lang w:val="en-GB"/>
              </w:rPr>
              <w:t xml:space="preserve"> </w:t>
            </w:r>
            <w:r w:rsidRPr="007179CD">
              <w:rPr>
                <w:rFonts w:eastAsia="Times New Roman"/>
                <w:b/>
                <w:bCs/>
                <w:lang w:val="en-GB"/>
              </w:rPr>
              <w:t>(T)</w:t>
            </w:r>
            <w:r w:rsidRPr="007179CD">
              <w:rPr>
                <w:rFonts w:eastAsia="Times New Roman"/>
                <w:lang w:val="en-GB"/>
              </w:rPr>
              <w:t xml:space="preserve"> must not exceed 36,000,000 SEK</w:t>
            </w:r>
            <w:r w:rsidR="00B2324B">
              <w:rPr>
                <w:rFonts w:eastAsia="Times New Roman"/>
                <w:lang w:val="en-GB"/>
              </w:rPr>
              <w:t xml:space="preserve"> and</w:t>
            </w:r>
            <w:r w:rsidR="005411C8">
              <w:rPr>
                <w:rFonts w:eastAsia="Times New Roman"/>
                <w:lang w:val="en-GB"/>
              </w:rPr>
              <w:t xml:space="preserve"> should include the following</w:t>
            </w:r>
            <w:r w:rsidR="00E3022B">
              <w:rPr>
                <w:rFonts w:eastAsia="Times New Roman"/>
                <w:lang w:val="en-GB"/>
              </w:rPr>
              <w:t xml:space="preserve"> elements</w:t>
            </w:r>
            <w:r w:rsidR="005411C8">
              <w:rPr>
                <w:rFonts w:eastAsia="Times New Roman"/>
                <w:lang w:val="en-GB"/>
              </w:rPr>
              <w:t>:</w:t>
            </w:r>
          </w:p>
          <w:p w14:paraId="1C2A179C" w14:textId="630D03CF" w:rsidR="00D274A0" w:rsidRPr="007179CD" w:rsidRDefault="004D2281" w:rsidP="00652449">
            <w:pPr>
              <w:spacing w:after="160" w:line="259" w:lineRule="auto"/>
              <w:rPr>
                <w:rFonts w:eastAsia="Times New Roman"/>
                <w:lang w:val="en-GB"/>
              </w:rPr>
            </w:pPr>
            <w:r>
              <w:rPr>
                <w:rFonts w:eastAsia="Times New Roman"/>
                <w:lang w:val="en-GB"/>
              </w:rPr>
              <w:t xml:space="preserve">1. </w:t>
            </w:r>
            <w:r w:rsidR="00771628">
              <w:rPr>
                <w:rFonts w:eastAsia="Times New Roman"/>
                <w:lang w:val="en-GB"/>
              </w:rPr>
              <w:t>An amount for the</w:t>
            </w:r>
            <w:r w:rsidR="00C86BF1" w:rsidRPr="007179CD">
              <w:rPr>
                <w:rFonts w:eastAsia="Times New Roman"/>
                <w:lang w:val="en-GB"/>
              </w:rPr>
              <w:t xml:space="preserve"> </w:t>
            </w:r>
            <w:r w:rsidR="007157D6" w:rsidRPr="007179CD">
              <w:rPr>
                <w:rFonts w:eastAsia="Times New Roman"/>
                <w:lang w:val="en-GB"/>
              </w:rPr>
              <w:t>fees for the experts and support staff</w:t>
            </w:r>
            <w:r w:rsidR="005A7072" w:rsidRPr="007179CD">
              <w:rPr>
                <w:rFonts w:eastAsia="Times New Roman"/>
                <w:lang w:val="en-GB"/>
              </w:rPr>
              <w:t xml:space="preserve">. </w:t>
            </w:r>
            <w:r w:rsidR="00F73F35" w:rsidRPr="007179CD">
              <w:rPr>
                <w:rFonts w:eastAsia="Times New Roman"/>
                <w:b/>
                <w:bCs/>
                <w:lang w:val="en-GB"/>
              </w:rPr>
              <w:t>(F)</w:t>
            </w:r>
          </w:p>
          <w:p w14:paraId="3412B7FC" w14:textId="7E445DBA" w:rsidR="002272EB" w:rsidRDefault="004D2281" w:rsidP="00836B27">
            <w:pPr>
              <w:spacing w:after="160" w:line="259" w:lineRule="auto"/>
              <w:rPr>
                <w:b/>
                <w:bCs/>
                <w:lang w:val="en-GB"/>
              </w:rPr>
            </w:pPr>
            <w:r>
              <w:rPr>
                <w:lang w:val="en-GB"/>
              </w:rPr>
              <w:t xml:space="preserve">2. </w:t>
            </w:r>
            <w:r w:rsidR="00771628">
              <w:rPr>
                <w:lang w:val="en-GB"/>
              </w:rPr>
              <w:t xml:space="preserve">An amount for </w:t>
            </w:r>
            <w:r w:rsidR="004E4415">
              <w:rPr>
                <w:lang w:val="en-GB"/>
              </w:rPr>
              <w:t>the</w:t>
            </w:r>
            <w:r w:rsidR="002272EB" w:rsidRPr="00E70BBA">
              <w:rPr>
                <w:lang w:val="en-GB"/>
              </w:rPr>
              <w:t xml:space="preserve"> </w:t>
            </w:r>
            <w:r w:rsidR="00E70B85">
              <w:rPr>
                <w:lang w:val="en-GB"/>
              </w:rPr>
              <w:t>reimbursable</w:t>
            </w:r>
            <w:r w:rsidR="002272EB" w:rsidRPr="00E70BBA">
              <w:rPr>
                <w:lang w:val="en-GB"/>
              </w:rPr>
              <w:t xml:space="preserve"> cost</w:t>
            </w:r>
            <w:r w:rsidR="000C19A2" w:rsidRPr="00E70BBA">
              <w:rPr>
                <w:lang w:val="en-GB"/>
              </w:rPr>
              <w:t>s</w:t>
            </w:r>
            <w:r w:rsidR="002272EB" w:rsidRPr="00E70BBA">
              <w:rPr>
                <w:lang w:val="en-GB"/>
              </w:rPr>
              <w:t xml:space="preserve"> for the programme team</w:t>
            </w:r>
            <w:r w:rsidR="00880A89" w:rsidRPr="00E70BBA">
              <w:rPr>
                <w:lang w:val="en-GB"/>
              </w:rPr>
              <w:t xml:space="preserve"> such as</w:t>
            </w:r>
            <w:r w:rsidR="005D2D0A" w:rsidRPr="00E70BBA">
              <w:rPr>
                <w:lang w:val="en-GB"/>
              </w:rPr>
              <w:t xml:space="preserve"> </w:t>
            </w:r>
            <w:r w:rsidR="002272EB" w:rsidRPr="00E70BBA">
              <w:rPr>
                <w:lang w:val="en-GB"/>
              </w:rPr>
              <w:t xml:space="preserve">office rent and utilities, </w:t>
            </w:r>
            <w:r w:rsidR="009A2810" w:rsidRPr="00E70BBA">
              <w:rPr>
                <w:lang w:val="en-GB"/>
              </w:rPr>
              <w:t>accommodation</w:t>
            </w:r>
            <w:r w:rsidR="001366D0" w:rsidRPr="00E70BBA">
              <w:rPr>
                <w:lang w:val="en-GB"/>
              </w:rPr>
              <w:t xml:space="preserve"> (including hotel and housing)</w:t>
            </w:r>
            <w:r w:rsidR="009A2810" w:rsidRPr="00E70BBA">
              <w:rPr>
                <w:lang w:val="en-GB"/>
              </w:rPr>
              <w:t xml:space="preserve">, </w:t>
            </w:r>
            <w:r w:rsidR="002272EB" w:rsidRPr="00E70BBA">
              <w:rPr>
                <w:lang w:val="en-GB"/>
              </w:rPr>
              <w:t>transport</w:t>
            </w:r>
            <w:r w:rsidR="001366D0" w:rsidRPr="00E70BBA">
              <w:rPr>
                <w:lang w:val="en-GB"/>
              </w:rPr>
              <w:t xml:space="preserve"> (local and international)</w:t>
            </w:r>
            <w:r w:rsidR="002272EB" w:rsidRPr="00E70BBA">
              <w:rPr>
                <w:lang w:val="en-GB"/>
              </w:rPr>
              <w:t>, communication, internet, office equipment</w:t>
            </w:r>
            <w:r w:rsidR="001366D0" w:rsidRPr="00E70BBA">
              <w:rPr>
                <w:lang w:val="en-GB"/>
              </w:rPr>
              <w:t>, audit of the programme</w:t>
            </w:r>
            <w:r w:rsidR="008C5A43">
              <w:rPr>
                <w:lang w:val="en-GB"/>
              </w:rPr>
              <w:t>, etc</w:t>
            </w:r>
            <w:r w:rsidR="00880A89" w:rsidRPr="00E70BBA">
              <w:rPr>
                <w:lang w:val="en-GB"/>
              </w:rPr>
              <w:t>.</w:t>
            </w:r>
            <w:r w:rsidR="00FA4182" w:rsidRPr="00E70BBA">
              <w:rPr>
                <w:lang w:val="en-GB"/>
              </w:rPr>
              <w:t xml:space="preserve"> </w:t>
            </w:r>
            <w:r w:rsidR="00FA4182" w:rsidRPr="007179CD">
              <w:rPr>
                <w:b/>
                <w:bCs/>
                <w:lang w:val="en-GB"/>
              </w:rPr>
              <w:t>(</w:t>
            </w:r>
            <w:r w:rsidR="00880A89" w:rsidRPr="007179CD">
              <w:rPr>
                <w:b/>
                <w:bCs/>
                <w:lang w:val="en-GB"/>
              </w:rPr>
              <w:t>R</w:t>
            </w:r>
            <w:r w:rsidR="00FA4182" w:rsidRPr="007179CD">
              <w:rPr>
                <w:b/>
                <w:bCs/>
                <w:lang w:val="en-GB"/>
              </w:rPr>
              <w:t>T</w:t>
            </w:r>
            <w:r w:rsidR="00880A89" w:rsidRPr="007179CD">
              <w:rPr>
                <w:b/>
                <w:bCs/>
                <w:lang w:val="en-GB"/>
              </w:rPr>
              <w:t>)</w:t>
            </w:r>
          </w:p>
          <w:p w14:paraId="1D699E2B" w14:textId="53816427" w:rsidR="00A14868" w:rsidRPr="007179CD" w:rsidRDefault="004D2281" w:rsidP="009A2810">
            <w:pPr>
              <w:spacing w:after="160" w:line="259" w:lineRule="auto"/>
              <w:rPr>
                <w:rFonts w:eastAsia="Times New Roman"/>
                <w:lang w:val="en-GB"/>
              </w:rPr>
            </w:pPr>
            <w:r>
              <w:rPr>
                <w:lang w:val="en-GB"/>
              </w:rPr>
              <w:t>3</w:t>
            </w:r>
            <w:r w:rsidR="00BC63E8">
              <w:rPr>
                <w:lang w:val="en-GB"/>
              </w:rPr>
              <w:t xml:space="preserve">. </w:t>
            </w:r>
            <w:r w:rsidR="004E4415" w:rsidRPr="004D2281">
              <w:rPr>
                <w:lang w:val="en-GB"/>
              </w:rPr>
              <w:t xml:space="preserve">An amount </w:t>
            </w:r>
            <w:r w:rsidR="004C239F" w:rsidRPr="004D2281">
              <w:rPr>
                <w:lang w:val="en-GB"/>
              </w:rPr>
              <w:t>for</w:t>
            </w:r>
            <w:r w:rsidR="004C239F">
              <w:rPr>
                <w:b/>
                <w:bCs/>
                <w:lang w:val="en-GB"/>
              </w:rPr>
              <w:t xml:space="preserve"> </w:t>
            </w:r>
            <w:r w:rsidR="00F5543C">
              <w:rPr>
                <w:rFonts w:eastAsia="Times New Roman"/>
                <w:lang w:val="en-GB"/>
              </w:rPr>
              <w:t>reimbursable costs for the</w:t>
            </w:r>
            <w:r w:rsidR="00B2324B">
              <w:rPr>
                <w:rFonts w:eastAsia="Times New Roman"/>
                <w:lang w:val="en-GB"/>
              </w:rPr>
              <w:t xml:space="preserve"> </w:t>
            </w:r>
            <w:r w:rsidR="00525497" w:rsidRPr="007179CD">
              <w:rPr>
                <w:rFonts w:eastAsia="Times New Roman"/>
                <w:lang w:val="en-GB"/>
              </w:rPr>
              <w:t>implementation of the programme</w:t>
            </w:r>
            <w:r w:rsidR="00BF6F45">
              <w:rPr>
                <w:rFonts w:eastAsia="Times New Roman"/>
                <w:lang w:val="en-GB"/>
              </w:rPr>
              <w:t xml:space="preserve"> </w:t>
            </w:r>
            <w:r w:rsidR="00FE6ABF">
              <w:rPr>
                <w:rFonts w:eastAsia="Times New Roman"/>
                <w:lang w:val="en-GB"/>
              </w:rPr>
              <w:t xml:space="preserve">including </w:t>
            </w:r>
            <w:r w:rsidR="00525497" w:rsidRPr="007179CD">
              <w:rPr>
                <w:rFonts w:eastAsia="Times New Roman"/>
                <w:lang w:val="en-GB"/>
              </w:rPr>
              <w:t>purchases of goods and services</w:t>
            </w:r>
            <w:r w:rsidR="003B2054">
              <w:rPr>
                <w:rFonts w:eastAsia="Times New Roman"/>
                <w:lang w:val="en-GB"/>
              </w:rPr>
              <w:t xml:space="preserve"> </w:t>
            </w:r>
            <w:r w:rsidR="00525497" w:rsidRPr="007179CD">
              <w:rPr>
                <w:rFonts w:eastAsia="Times New Roman"/>
                <w:lang w:val="en-GB"/>
              </w:rPr>
              <w:t xml:space="preserve">for the beneficiaries related to </w:t>
            </w:r>
            <w:r w:rsidR="00525497" w:rsidRPr="007179CD">
              <w:rPr>
                <w:lang w:val="en-GB"/>
              </w:rPr>
              <w:t>Community Policing Support, Analysis and Accountability, Specialized Police Capacities</w:t>
            </w:r>
            <w:r w:rsidR="00525497" w:rsidRPr="007179CD">
              <w:rPr>
                <w:rFonts w:eastAsia="Times New Roman"/>
                <w:lang w:val="en-GB"/>
              </w:rPr>
              <w:t xml:space="preserve">. </w:t>
            </w:r>
            <w:r w:rsidR="00BB3659">
              <w:rPr>
                <w:lang w:val="en-GB"/>
              </w:rPr>
              <w:t>This</w:t>
            </w:r>
            <w:r w:rsidR="00A14868" w:rsidRPr="007179CD">
              <w:rPr>
                <w:lang w:val="en-GB"/>
              </w:rPr>
              <w:t xml:space="preserve"> include</w:t>
            </w:r>
            <w:r w:rsidR="00D077C2">
              <w:rPr>
                <w:lang w:val="en-GB"/>
              </w:rPr>
              <w:t>s</w:t>
            </w:r>
            <w:r w:rsidR="00A14868" w:rsidRPr="007179CD">
              <w:rPr>
                <w:lang w:val="en-GB"/>
              </w:rPr>
              <w:t xml:space="preserve"> </w:t>
            </w:r>
            <w:r w:rsidR="00A14868" w:rsidRPr="007179CD">
              <w:rPr>
                <w:b/>
                <w:bCs/>
                <w:lang w:val="en-GB"/>
              </w:rPr>
              <w:t>STE support</w:t>
            </w:r>
            <w:r w:rsidR="00A14868" w:rsidRPr="007179CD">
              <w:rPr>
                <w:lang w:val="en-GB"/>
              </w:rPr>
              <w:t xml:space="preserve">, but it is not necessary to include a specific provision for </w:t>
            </w:r>
            <w:r w:rsidR="00C952C1" w:rsidRPr="007179CD">
              <w:rPr>
                <w:lang w:val="en-GB"/>
              </w:rPr>
              <w:t>STE</w:t>
            </w:r>
            <w:r w:rsidR="00A14868" w:rsidRPr="007179CD">
              <w:rPr>
                <w:lang w:val="en-GB"/>
              </w:rPr>
              <w:t xml:space="preserve">. Other </w:t>
            </w:r>
            <w:r w:rsidR="000F3AAE">
              <w:rPr>
                <w:lang w:val="en-GB"/>
              </w:rPr>
              <w:t>implementation</w:t>
            </w:r>
            <w:r w:rsidR="00A14868" w:rsidRPr="007179CD">
              <w:rPr>
                <w:lang w:val="en-GB"/>
              </w:rPr>
              <w:t xml:space="preserve"> reimbursables could include equipment, logistics, travel, hiring of conference rooms, study tours, translation, surveys, etc</w:t>
            </w:r>
            <w:r w:rsidR="00C952C1" w:rsidRPr="007179CD">
              <w:rPr>
                <w:lang w:val="en-GB"/>
              </w:rPr>
              <w:t>.</w:t>
            </w:r>
            <w:r w:rsidR="00A14868" w:rsidRPr="007179CD">
              <w:rPr>
                <w:lang w:val="en-GB"/>
              </w:rPr>
              <w:t xml:space="preserve"> The actual detailed reimbursable expenditures will be proposed by the consultant during the actual project implementation and pre-approved by the Embassy. It is not necessary to detail them at the proposal stage.</w:t>
            </w:r>
            <w:r w:rsidR="00BA0016">
              <w:rPr>
                <w:lang w:val="en-GB"/>
              </w:rPr>
              <w:t xml:space="preserve"> </w:t>
            </w:r>
            <w:r w:rsidR="00BA0016" w:rsidRPr="00BD3DCB">
              <w:rPr>
                <w:b/>
                <w:bCs/>
                <w:lang w:val="en-GB"/>
              </w:rPr>
              <w:t>(RP</w:t>
            </w:r>
            <w:r w:rsidR="00BD3DCB" w:rsidRPr="00BD3DCB">
              <w:rPr>
                <w:b/>
                <w:bCs/>
                <w:lang w:val="en-GB"/>
              </w:rPr>
              <w:t>).</w:t>
            </w:r>
          </w:p>
          <w:p w14:paraId="763AD118" w14:textId="77777777" w:rsidR="00BA0016" w:rsidRPr="007179CD" w:rsidRDefault="00BA0016" w:rsidP="00BA0016">
            <w:pPr>
              <w:spacing w:after="160" w:line="259" w:lineRule="auto"/>
              <w:rPr>
                <w:rFonts w:eastAsia="Times New Roman"/>
                <w:b/>
                <w:bCs/>
                <w:lang w:val="en-GB"/>
              </w:rPr>
            </w:pPr>
            <w:r>
              <w:rPr>
                <w:rFonts w:eastAsia="Times New Roman"/>
                <w:lang w:val="en-GB"/>
              </w:rPr>
              <w:t xml:space="preserve">4. A </w:t>
            </w:r>
            <w:r w:rsidRPr="007179CD">
              <w:rPr>
                <w:rFonts w:eastAsia="Times New Roman"/>
                <w:lang w:val="en-GB"/>
              </w:rPr>
              <w:t xml:space="preserve">provision of SEK 6,670,000 for Grants. </w:t>
            </w:r>
            <w:r w:rsidRPr="007179CD">
              <w:rPr>
                <w:rFonts w:eastAsia="Times New Roman"/>
                <w:b/>
                <w:bCs/>
                <w:lang w:val="en-GB"/>
              </w:rPr>
              <w:t>(G)</w:t>
            </w:r>
          </w:p>
          <w:p w14:paraId="49747151" w14:textId="77777777" w:rsidR="00BA0016" w:rsidRPr="006D5E5A" w:rsidRDefault="00BA0016" w:rsidP="00BA0016">
            <w:pPr>
              <w:spacing w:after="160" w:line="259" w:lineRule="auto"/>
              <w:rPr>
                <w:rFonts w:eastAsia="Times New Roman"/>
                <w:b/>
                <w:bCs/>
                <w:sz w:val="28"/>
                <w:szCs w:val="28"/>
                <w:lang w:val="en-GB"/>
              </w:rPr>
            </w:pPr>
            <w:r w:rsidRPr="006D5E5A">
              <w:rPr>
                <w:rFonts w:eastAsia="Times New Roman"/>
                <w:b/>
                <w:bCs/>
                <w:sz w:val="28"/>
                <w:szCs w:val="28"/>
                <w:lang w:val="en-GB"/>
              </w:rPr>
              <w:t xml:space="preserve">T = F + RT + RP + G  </w:t>
            </w:r>
          </w:p>
          <w:p w14:paraId="2273208F" w14:textId="6BF4094D" w:rsidR="008A3566" w:rsidRPr="007179CD" w:rsidRDefault="00201996" w:rsidP="00E23C33">
            <w:pPr>
              <w:spacing w:after="160" w:line="259" w:lineRule="auto"/>
              <w:rPr>
                <w:rFonts w:eastAsia="Times New Roman"/>
                <w:lang w:val="en-GB"/>
              </w:rPr>
            </w:pPr>
            <w:r>
              <w:rPr>
                <w:rFonts w:eastAsia="Times New Roman"/>
                <w:b/>
                <w:bCs/>
                <w:lang w:val="en-GB"/>
              </w:rPr>
              <w:t xml:space="preserve">N.B. </w:t>
            </w:r>
            <w:r w:rsidR="00AA6864" w:rsidRPr="006D5E5A">
              <w:rPr>
                <w:rFonts w:eastAsia="Times New Roman"/>
                <w:lang w:val="en-GB"/>
              </w:rPr>
              <w:t xml:space="preserve">The </w:t>
            </w:r>
            <w:r w:rsidR="00D223BD" w:rsidRPr="006D5E5A">
              <w:rPr>
                <w:rFonts w:eastAsia="Times New Roman"/>
                <w:lang w:val="en-GB"/>
              </w:rPr>
              <w:t>“</w:t>
            </w:r>
            <w:r w:rsidR="00AA6864" w:rsidRPr="006D5E5A">
              <w:rPr>
                <w:rFonts w:eastAsia="Times New Roman"/>
                <w:lang w:val="en-GB"/>
              </w:rPr>
              <w:t>tendered price</w:t>
            </w:r>
            <w:r w:rsidR="00D223BD" w:rsidRPr="006D5E5A">
              <w:rPr>
                <w:rFonts w:eastAsia="Times New Roman"/>
                <w:lang w:val="en-GB"/>
              </w:rPr>
              <w:t>”</w:t>
            </w:r>
            <w:r w:rsidR="00AA6864" w:rsidRPr="006D5E5A">
              <w:rPr>
                <w:rFonts w:eastAsia="Times New Roman"/>
                <w:lang w:val="en-GB"/>
              </w:rPr>
              <w:t xml:space="preserve"> used to compare the financial proposals of bidders (see page </w:t>
            </w:r>
            <w:r w:rsidR="003D2B2E" w:rsidRPr="006D5E5A">
              <w:rPr>
                <w:rFonts w:eastAsia="Times New Roman"/>
                <w:lang w:val="en-GB"/>
              </w:rPr>
              <w:t xml:space="preserve">33 of the </w:t>
            </w:r>
            <w:r w:rsidR="00D223BD" w:rsidRPr="006D5E5A">
              <w:rPr>
                <w:rFonts w:eastAsia="Times New Roman"/>
                <w:lang w:val="en-GB"/>
              </w:rPr>
              <w:t>Pr</w:t>
            </w:r>
            <w:r w:rsidR="003D2B2E" w:rsidRPr="006D5E5A">
              <w:rPr>
                <w:rFonts w:eastAsia="Times New Roman"/>
                <w:lang w:val="en-GB"/>
              </w:rPr>
              <w:t>ocurement Document</w:t>
            </w:r>
            <w:r w:rsidR="00D223BD" w:rsidRPr="006D5E5A">
              <w:rPr>
                <w:rFonts w:eastAsia="Times New Roman"/>
                <w:lang w:val="en-GB"/>
              </w:rPr>
              <w:t>)</w:t>
            </w:r>
            <w:r w:rsidR="003D2B2E" w:rsidRPr="006D5E5A">
              <w:rPr>
                <w:rFonts w:eastAsia="Times New Roman"/>
                <w:lang w:val="en-GB"/>
              </w:rPr>
              <w:t xml:space="preserve"> will be the total of </w:t>
            </w:r>
            <w:r w:rsidR="00A95DAB" w:rsidRPr="006D5E5A">
              <w:rPr>
                <w:rFonts w:eastAsia="Times New Roman"/>
                <w:lang w:val="en-GB"/>
              </w:rPr>
              <w:t xml:space="preserve">the Fees plus the </w:t>
            </w:r>
            <w:r w:rsidR="00D223BD" w:rsidRPr="006D5E5A">
              <w:rPr>
                <w:rFonts w:eastAsia="Times New Roman"/>
                <w:lang w:val="en-GB"/>
              </w:rPr>
              <w:t xml:space="preserve">operating costs for </w:t>
            </w:r>
            <w:r w:rsidR="00111C0E" w:rsidRPr="006D5E5A">
              <w:rPr>
                <w:rFonts w:eastAsia="Times New Roman"/>
                <w:lang w:val="en-GB"/>
              </w:rPr>
              <w:t>t</w:t>
            </w:r>
            <w:r w:rsidR="00D223BD" w:rsidRPr="006D5E5A">
              <w:rPr>
                <w:rFonts w:eastAsia="Times New Roman"/>
                <w:lang w:val="en-GB"/>
              </w:rPr>
              <w:t>he team</w:t>
            </w:r>
            <w:r w:rsidR="00D223BD">
              <w:rPr>
                <w:rFonts w:eastAsia="Times New Roman"/>
                <w:b/>
                <w:bCs/>
                <w:lang w:val="en-GB"/>
              </w:rPr>
              <w:t xml:space="preserve"> (F + RT).</w:t>
            </w:r>
          </w:p>
        </w:tc>
      </w:tr>
      <w:tr w:rsidR="00D274A0" w:rsidRPr="008C5A43" w14:paraId="254D06F5" w14:textId="77777777" w:rsidTr="00284A07">
        <w:tc>
          <w:tcPr>
            <w:tcW w:w="562" w:type="dxa"/>
          </w:tcPr>
          <w:p w14:paraId="252AD860" w14:textId="5D5BD709" w:rsidR="00D274A0" w:rsidRPr="00652449" w:rsidRDefault="002B3D98" w:rsidP="00652449">
            <w:pPr>
              <w:spacing w:after="160" w:line="259" w:lineRule="auto"/>
              <w:rPr>
                <w:rFonts w:eastAsia="Times New Roman"/>
                <w:lang w:val="en-GB"/>
              </w:rPr>
            </w:pPr>
            <w:r w:rsidRPr="00652449">
              <w:rPr>
                <w:rFonts w:eastAsia="Times New Roman"/>
                <w:lang w:val="en-GB"/>
              </w:rPr>
              <w:t>31</w:t>
            </w:r>
          </w:p>
        </w:tc>
        <w:tc>
          <w:tcPr>
            <w:tcW w:w="4962" w:type="dxa"/>
          </w:tcPr>
          <w:p w14:paraId="19F47ABB" w14:textId="77777777" w:rsidR="00C3472A" w:rsidRPr="00834236" w:rsidRDefault="00C3472A" w:rsidP="00A07FA7">
            <w:pPr>
              <w:rPr>
                <w:rFonts w:eastAsia="Times New Roman"/>
                <w:lang w:val="en-GB"/>
              </w:rPr>
            </w:pPr>
            <w:r w:rsidRPr="00834236">
              <w:rPr>
                <w:rFonts w:eastAsia="Times New Roman"/>
                <w:lang w:val="en-GB"/>
              </w:rPr>
              <w:t>We also feel that the indicative rates for the 4 roles are extremely low – How would an implementing partner apportion their operating / overhead costs?</w:t>
            </w:r>
          </w:p>
          <w:p w14:paraId="77BBA4AD" w14:textId="77777777" w:rsidR="00D274A0" w:rsidRPr="00A07FA7" w:rsidRDefault="00D274A0" w:rsidP="00652449">
            <w:pPr>
              <w:rPr>
                <w:rFonts w:eastAsia="Times New Roman"/>
                <w:lang w:val="en-GB"/>
              </w:rPr>
            </w:pPr>
          </w:p>
        </w:tc>
        <w:tc>
          <w:tcPr>
            <w:tcW w:w="5244" w:type="dxa"/>
          </w:tcPr>
          <w:p w14:paraId="74A97DD3" w14:textId="7F85029A" w:rsidR="00D274A0" w:rsidRPr="00652449" w:rsidRDefault="007045C6" w:rsidP="00652449">
            <w:pPr>
              <w:spacing w:after="160" w:line="259" w:lineRule="auto"/>
              <w:rPr>
                <w:rFonts w:eastAsia="Times New Roman"/>
                <w:lang w:val="en-GB"/>
              </w:rPr>
            </w:pPr>
            <w:r w:rsidRPr="007179CD">
              <w:rPr>
                <w:rFonts w:eastAsia="Times New Roman"/>
                <w:lang w:val="en-GB"/>
              </w:rPr>
              <w:t>The information in the Annex D Budget is for guidance</w:t>
            </w:r>
            <w:r w:rsidR="005D2D0A" w:rsidRPr="007179CD">
              <w:rPr>
                <w:rFonts w:eastAsia="Times New Roman"/>
                <w:lang w:val="en-GB"/>
              </w:rPr>
              <w:t>,</w:t>
            </w:r>
            <w:r w:rsidR="00EA392F">
              <w:rPr>
                <w:rFonts w:eastAsia="Times New Roman"/>
                <w:lang w:val="en-GB"/>
              </w:rPr>
              <w:t xml:space="preserve"> </w:t>
            </w:r>
            <w:r w:rsidR="009A2810" w:rsidRPr="007179CD">
              <w:rPr>
                <w:rFonts w:eastAsia="Times New Roman"/>
                <w:lang w:val="en-GB"/>
              </w:rPr>
              <w:t>based on the experience from the previous phase of the programme</w:t>
            </w:r>
            <w:r w:rsidRPr="007179CD">
              <w:rPr>
                <w:rFonts w:eastAsia="Times New Roman"/>
                <w:lang w:val="en-GB"/>
              </w:rPr>
              <w:t xml:space="preserve">. </w:t>
            </w:r>
            <w:r w:rsidR="0044516F" w:rsidRPr="007179CD">
              <w:rPr>
                <w:rFonts w:eastAsia="Times New Roman"/>
                <w:lang w:val="en-GB"/>
              </w:rPr>
              <w:t>Th</w:t>
            </w:r>
            <w:r w:rsidR="000573B3" w:rsidRPr="007179CD">
              <w:rPr>
                <w:rFonts w:eastAsia="Times New Roman"/>
                <w:lang w:val="en-GB"/>
              </w:rPr>
              <w:t>e</w:t>
            </w:r>
            <w:r w:rsidR="0044516F" w:rsidRPr="007179CD">
              <w:rPr>
                <w:rFonts w:eastAsia="Times New Roman"/>
                <w:lang w:val="en-GB"/>
              </w:rPr>
              <w:t xml:space="preserve"> bidder </w:t>
            </w:r>
            <w:r w:rsidR="000573B3" w:rsidRPr="007179CD">
              <w:rPr>
                <w:rFonts w:eastAsia="Times New Roman"/>
                <w:lang w:val="en-GB"/>
              </w:rPr>
              <w:t>may</w:t>
            </w:r>
            <w:r w:rsidR="0044516F" w:rsidRPr="007179CD">
              <w:rPr>
                <w:rFonts w:eastAsia="Times New Roman"/>
                <w:lang w:val="en-GB"/>
              </w:rPr>
              <w:t xml:space="preserve"> propose a level of fees for the e</w:t>
            </w:r>
            <w:r w:rsidR="000573B3" w:rsidRPr="007179CD">
              <w:rPr>
                <w:rFonts w:eastAsia="Times New Roman"/>
                <w:lang w:val="en-GB"/>
              </w:rPr>
              <w:t>xperts which is different from the estimate although th</w:t>
            </w:r>
            <w:r w:rsidR="00E932BC" w:rsidRPr="007179CD">
              <w:rPr>
                <w:rFonts w:eastAsia="Times New Roman"/>
                <w:lang w:val="en-GB"/>
              </w:rPr>
              <w:t>e</w:t>
            </w:r>
            <w:r w:rsidR="000573B3" w:rsidRPr="007179CD">
              <w:rPr>
                <w:rFonts w:eastAsia="Times New Roman"/>
                <w:lang w:val="en-GB"/>
              </w:rPr>
              <w:t xml:space="preserve"> </w:t>
            </w:r>
            <w:r w:rsidR="00E932BC" w:rsidRPr="007179CD">
              <w:rPr>
                <w:rFonts w:eastAsia="Times New Roman"/>
                <w:lang w:val="en-GB"/>
              </w:rPr>
              <w:t>total</w:t>
            </w:r>
            <w:r w:rsidR="000573B3" w:rsidRPr="007179CD">
              <w:rPr>
                <w:rFonts w:eastAsia="Times New Roman"/>
                <w:lang w:val="en-GB"/>
              </w:rPr>
              <w:t xml:space="preserve"> offer should not exceed 36,000,000 SE</w:t>
            </w:r>
            <w:r w:rsidR="00240B56" w:rsidRPr="007179CD">
              <w:rPr>
                <w:rFonts w:eastAsia="Times New Roman"/>
                <w:lang w:val="en-GB"/>
              </w:rPr>
              <w:t xml:space="preserve">K.  </w:t>
            </w:r>
          </w:p>
        </w:tc>
      </w:tr>
      <w:tr w:rsidR="00C3472A" w:rsidRPr="008C5A43" w14:paraId="6B4F7DEC" w14:textId="77777777" w:rsidTr="00284A07">
        <w:tc>
          <w:tcPr>
            <w:tcW w:w="562" w:type="dxa"/>
          </w:tcPr>
          <w:p w14:paraId="25D63F88" w14:textId="238EF842" w:rsidR="00C3472A" w:rsidRPr="00652449" w:rsidRDefault="00A10A8E" w:rsidP="00652449">
            <w:pPr>
              <w:spacing w:after="160" w:line="259" w:lineRule="auto"/>
              <w:rPr>
                <w:rFonts w:eastAsia="Times New Roman"/>
                <w:lang w:val="en-GB"/>
              </w:rPr>
            </w:pPr>
            <w:r>
              <w:rPr>
                <w:rFonts w:eastAsia="Times New Roman"/>
                <w:lang w:val="en-GB"/>
              </w:rPr>
              <w:t>32</w:t>
            </w:r>
          </w:p>
        </w:tc>
        <w:tc>
          <w:tcPr>
            <w:tcW w:w="4962" w:type="dxa"/>
          </w:tcPr>
          <w:p w14:paraId="27501182" w14:textId="6488549D" w:rsidR="00C3472A" w:rsidRPr="00834236" w:rsidRDefault="004270AA" w:rsidP="00A07FA7">
            <w:pPr>
              <w:spacing w:after="160" w:line="259" w:lineRule="auto"/>
              <w:rPr>
                <w:rFonts w:eastAsia="Times New Roman"/>
                <w:lang w:val="en-GB"/>
              </w:rPr>
            </w:pPr>
            <w:r w:rsidRPr="00834236">
              <w:rPr>
                <w:rFonts w:eastAsia="Times New Roman"/>
                <w:lang w:val="en-GB"/>
              </w:rPr>
              <w:t>Will there be a further budget, in addition to the 36,000,000 SEK, allocated to the required STE’s? If so, can you give an indication of this amount?</w:t>
            </w:r>
          </w:p>
        </w:tc>
        <w:tc>
          <w:tcPr>
            <w:tcW w:w="5244" w:type="dxa"/>
          </w:tcPr>
          <w:p w14:paraId="45BC7E8B" w14:textId="720C41EC" w:rsidR="00C3472A" w:rsidRPr="00652449" w:rsidRDefault="00384095" w:rsidP="00652449">
            <w:pPr>
              <w:spacing w:after="160" w:line="259" w:lineRule="auto"/>
              <w:rPr>
                <w:rFonts w:eastAsia="Times New Roman"/>
                <w:lang w:val="en-GB"/>
              </w:rPr>
            </w:pPr>
            <w:r>
              <w:rPr>
                <w:lang w:val="en-GB"/>
              </w:rPr>
              <w:t xml:space="preserve">The </w:t>
            </w:r>
            <w:r w:rsidR="00A14E82">
              <w:rPr>
                <w:lang w:val="en-GB"/>
              </w:rPr>
              <w:t>need</w:t>
            </w:r>
            <w:r>
              <w:rPr>
                <w:lang w:val="en-GB"/>
              </w:rPr>
              <w:t xml:space="preserve"> for STE will be determined </w:t>
            </w:r>
            <w:r w:rsidR="003C6D53">
              <w:rPr>
                <w:lang w:val="en-GB"/>
              </w:rPr>
              <w:t>during impl</w:t>
            </w:r>
            <w:r w:rsidR="00D53CB1">
              <w:rPr>
                <w:lang w:val="en-GB"/>
              </w:rPr>
              <w:t>ementation of the pro</w:t>
            </w:r>
            <w:r w:rsidR="00627307">
              <w:rPr>
                <w:lang w:val="en-GB"/>
              </w:rPr>
              <w:t>j</w:t>
            </w:r>
            <w:r w:rsidR="00D53CB1">
              <w:rPr>
                <w:lang w:val="en-GB"/>
              </w:rPr>
              <w:t>ect</w:t>
            </w:r>
            <w:r>
              <w:rPr>
                <w:lang w:val="en-GB"/>
              </w:rPr>
              <w:t xml:space="preserve"> and </w:t>
            </w:r>
            <w:r w:rsidR="007133DD">
              <w:rPr>
                <w:lang w:val="en-GB"/>
              </w:rPr>
              <w:t xml:space="preserve">the STE </w:t>
            </w:r>
            <w:r>
              <w:rPr>
                <w:lang w:val="en-GB"/>
              </w:rPr>
              <w:t xml:space="preserve">services will be hired </w:t>
            </w:r>
            <w:r w:rsidR="00627307">
              <w:rPr>
                <w:lang w:val="en-GB"/>
              </w:rPr>
              <w:t xml:space="preserve">by the consultant </w:t>
            </w:r>
            <w:r w:rsidRPr="00806A81">
              <w:rPr>
                <w:lang w:val="en-GB"/>
              </w:rPr>
              <w:t xml:space="preserve">according to </w:t>
            </w:r>
            <w:proofErr w:type="spellStart"/>
            <w:r w:rsidRPr="00806A81">
              <w:rPr>
                <w:lang w:val="en-GB"/>
              </w:rPr>
              <w:t>Sida’s</w:t>
            </w:r>
            <w:proofErr w:type="spellEnd"/>
            <w:r w:rsidRPr="00806A81">
              <w:rPr>
                <w:lang w:val="en-GB"/>
              </w:rPr>
              <w:t xml:space="preserve"> Procurement Guidelines</w:t>
            </w:r>
            <w:r w:rsidR="00627307">
              <w:rPr>
                <w:lang w:val="en-GB"/>
              </w:rPr>
              <w:t>. The funds will come from wi</w:t>
            </w:r>
            <w:r w:rsidR="007505B8">
              <w:rPr>
                <w:lang w:val="en-GB"/>
              </w:rPr>
              <w:t>thin the envelope of</w:t>
            </w:r>
            <w:r w:rsidR="00403222">
              <w:rPr>
                <w:lang w:val="en-GB"/>
              </w:rPr>
              <w:t xml:space="preserve"> </w:t>
            </w:r>
            <w:r w:rsidR="007505B8" w:rsidRPr="00834236">
              <w:rPr>
                <w:rFonts w:eastAsia="Times New Roman"/>
                <w:lang w:val="en-GB"/>
              </w:rPr>
              <w:t>36,000,000 SEK</w:t>
            </w:r>
            <w:r w:rsidR="007505B8">
              <w:rPr>
                <w:rFonts w:eastAsia="Times New Roman"/>
                <w:lang w:val="en-GB"/>
              </w:rPr>
              <w:t>.</w:t>
            </w:r>
            <w:r w:rsidR="007505B8" w:rsidRPr="00754D33">
              <w:rPr>
                <w:color w:val="FF0000"/>
                <w:lang w:val="en-GB"/>
              </w:rPr>
              <w:t xml:space="preserve"> </w:t>
            </w:r>
          </w:p>
        </w:tc>
      </w:tr>
      <w:tr w:rsidR="001171B8" w:rsidRPr="008C5A43" w14:paraId="2C8C51F8" w14:textId="77777777" w:rsidTr="00284A07">
        <w:tc>
          <w:tcPr>
            <w:tcW w:w="562" w:type="dxa"/>
          </w:tcPr>
          <w:p w14:paraId="66A176B5" w14:textId="46BDD264" w:rsidR="001171B8" w:rsidRDefault="001171B8" w:rsidP="00652449">
            <w:pPr>
              <w:rPr>
                <w:rFonts w:eastAsia="Times New Roman"/>
                <w:lang w:val="en-GB"/>
              </w:rPr>
            </w:pPr>
            <w:r>
              <w:rPr>
                <w:rFonts w:eastAsia="Times New Roman"/>
                <w:lang w:val="en-GB"/>
              </w:rPr>
              <w:t>33</w:t>
            </w:r>
          </w:p>
          <w:p w14:paraId="3AE46F7F" w14:textId="1DD1FFDA" w:rsidR="001171B8" w:rsidRDefault="001171B8" w:rsidP="00652449">
            <w:pPr>
              <w:rPr>
                <w:rFonts w:eastAsia="Times New Roman"/>
                <w:lang w:val="en-GB"/>
              </w:rPr>
            </w:pPr>
          </w:p>
          <w:p w14:paraId="2B8F0FE9" w14:textId="77777777" w:rsidR="001171B8" w:rsidRDefault="001171B8" w:rsidP="00652449">
            <w:pPr>
              <w:rPr>
                <w:rFonts w:eastAsia="Times New Roman"/>
                <w:lang w:val="en-GB"/>
              </w:rPr>
            </w:pPr>
          </w:p>
        </w:tc>
        <w:tc>
          <w:tcPr>
            <w:tcW w:w="4962" w:type="dxa"/>
          </w:tcPr>
          <w:p w14:paraId="6F2D4806" w14:textId="0B756B36" w:rsidR="00B51951" w:rsidRPr="00BC6277" w:rsidRDefault="00B51951" w:rsidP="00BC6277">
            <w:pPr>
              <w:rPr>
                <w:rFonts w:eastAsia="Times New Roman"/>
                <w:lang w:val="en-GB"/>
              </w:rPr>
            </w:pPr>
            <w:r w:rsidRPr="00BC6277">
              <w:rPr>
                <w:rFonts w:eastAsia="Times New Roman"/>
                <w:lang w:val="en-GB"/>
              </w:rPr>
              <w:t xml:space="preserve">Paragraph 5 in Appendix B, Contract for STRENGTHENING COMMUNITY POLICING IN ALBANIA, PHASE 3, PROGRAM states the following: </w:t>
            </w:r>
            <w:r w:rsidR="00BC6277">
              <w:rPr>
                <w:rFonts w:eastAsia="Times New Roman"/>
                <w:lang w:val="en-GB"/>
              </w:rPr>
              <w:t>“</w:t>
            </w:r>
            <w:r w:rsidRPr="00BC6277">
              <w:rPr>
                <w:rFonts w:eastAsia="Times New Roman"/>
                <w:lang w:val="en-GB"/>
              </w:rPr>
              <w:t>The following shall be presented by the invoice: invoiced amount excluding VAT, VAT amount per VAT category, type of service performed, information on the Supplier or subcontractors that performed the service, and name of the person who performed the service, number of hours worked, account to which payment shall be made, the Contract number, date and number of the invoice, the Supplier’s organisation number (or personal ID number if the Supplier has no organisation number), and the Supplier’s registration number for VAT, and it shall be stated on the invoice if the Supplier is approved for corporate tax.</w:t>
            </w:r>
            <w:r w:rsidR="00565333">
              <w:rPr>
                <w:rFonts w:eastAsia="Times New Roman"/>
                <w:lang w:val="en-GB"/>
              </w:rPr>
              <w:t>”</w:t>
            </w:r>
            <w:r w:rsidRPr="00BC6277">
              <w:rPr>
                <w:rFonts w:eastAsia="Times New Roman"/>
                <w:lang w:val="en-GB"/>
              </w:rPr>
              <w:t xml:space="preserve">  </w:t>
            </w:r>
            <w:proofErr w:type="gramStart"/>
            <w:r w:rsidRPr="00BC6277">
              <w:rPr>
                <w:rFonts w:eastAsia="Times New Roman"/>
                <w:lang w:val="en-GB"/>
              </w:rPr>
              <w:t>It is clear that we</w:t>
            </w:r>
            <w:proofErr w:type="gramEnd"/>
            <w:r w:rsidRPr="00BC6277">
              <w:rPr>
                <w:rFonts w:eastAsia="Times New Roman"/>
                <w:lang w:val="en-GB"/>
              </w:rPr>
              <w:t xml:space="preserve"> do not invoice the Embassy with VAT, but what is meant by that the invoices amount per VAT category that needs to be presented? </w:t>
            </w:r>
          </w:p>
          <w:p w14:paraId="2A62359D" w14:textId="77777777" w:rsidR="001171B8" w:rsidRPr="00BC6277" w:rsidRDefault="001171B8" w:rsidP="00A07FA7">
            <w:pPr>
              <w:rPr>
                <w:rFonts w:eastAsia="Times New Roman"/>
                <w:lang w:val="en-GB"/>
              </w:rPr>
            </w:pPr>
          </w:p>
        </w:tc>
        <w:tc>
          <w:tcPr>
            <w:tcW w:w="5244" w:type="dxa"/>
          </w:tcPr>
          <w:p w14:paraId="14AF84F4" w14:textId="262FD149" w:rsidR="001171B8" w:rsidRPr="00C80F10" w:rsidRDefault="006C2379" w:rsidP="00652449">
            <w:pPr>
              <w:rPr>
                <w:color w:val="FF0000"/>
                <w:lang w:val="en-GB"/>
              </w:rPr>
            </w:pPr>
            <w:r w:rsidRPr="007179CD">
              <w:rPr>
                <w:lang w:val="en-GB"/>
              </w:rPr>
              <w:t>This</w:t>
            </w:r>
            <w:r w:rsidR="00036525" w:rsidRPr="007179CD">
              <w:rPr>
                <w:lang w:val="en-GB"/>
              </w:rPr>
              <w:t xml:space="preserve"> will be clarified </w:t>
            </w:r>
            <w:r w:rsidR="008B575C" w:rsidRPr="007179CD">
              <w:rPr>
                <w:lang w:val="en-GB"/>
              </w:rPr>
              <w:t>prior to signing the contract.</w:t>
            </w:r>
          </w:p>
        </w:tc>
      </w:tr>
      <w:tr w:rsidR="001171B8" w:rsidRPr="008C5A43" w14:paraId="33DC2025" w14:textId="77777777" w:rsidTr="00284A07">
        <w:tc>
          <w:tcPr>
            <w:tcW w:w="562" w:type="dxa"/>
          </w:tcPr>
          <w:p w14:paraId="3B330F8B" w14:textId="6A60D92A" w:rsidR="001171B8" w:rsidRDefault="001171B8" w:rsidP="00652449">
            <w:pPr>
              <w:rPr>
                <w:rFonts w:eastAsia="Times New Roman"/>
                <w:lang w:val="en-GB"/>
              </w:rPr>
            </w:pPr>
            <w:r>
              <w:rPr>
                <w:rFonts w:eastAsia="Times New Roman"/>
                <w:lang w:val="en-GB"/>
              </w:rPr>
              <w:t>3</w:t>
            </w:r>
            <w:r w:rsidR="00B51951">
              <w:rPr>
                <w:rFonts w:eastAsia="Times New Roman"/>
                <w:lang w:val="en-GB"/>
              </w:rPr>
              <w:t>4</w:t>
            </w:r>
          </w:p>
        </w:tc>
        <w:tc>
          <w:tcPr>
            <w:tcW w:w="4962" w:type="dxa"/>
          </w:tcPr>
          <w:p w14:paraId="70EA14CF" w14:textId="77777777" w:rsidR="00E5106B" w:rsidRDefault="00E5106B" w:rsidP="00E5106B">
            <w:pPr>
              <w:rPr>
                <w:rFonts w:eastAsia="Times New Roman"/>
                <w:lang w:val="en-GB"/>
              </w:rPr>
            </w:pPr>
            <w:r w:rsidRPr="00E5106B">
              <w:rPr>
                <w:rFonts w:eastAsia="Times New Roman"/>
                <w:lang w:val="en-GB"/>
              </w:rPr>
              <w:t>According to introduction to Appendix B, the Embassy is VAT exempted in Albania, will the programme be VAT exempted by the local authorities in Albania and therefore the Embassy will assist the Supplier (as define in the contract), with acquiring 0 VAT status for the programme from local authorities?   </w:t>
            </w:r>
          </w:p>
          <w:p w14:paraId="00AAA013" w14:textId="77777777" w:rsidR="0026696C" w:rsidRDefault="0026696C" w:rsidP="00E5106B">
            <w:pPr>
              <w:rPr>
                <w:rFonts w:eastAsia="Times New Roman"/>
                <w:lang w:val="en-GB"/>
              </w:rPr>
            </w:pPr>
          </w:p>
          <w:p w14:paraId="1BCC207C" w14:textId="77777777" w:rsidR="0026696C" w:rsidRDefault="0026696C" w:rsidP="00E5106B">
            <w:pPr>
              <w:rPr>
                <w:rFonts w:eastAsia="Times New Roman"/>
                <w:lang w:val="en-GB"/>
              </w:rPr>
            </w:pPr>
          </w:p>
          <w:p w14:paraId="02706EA4" w14:textId="77777777" w:rsidR="0026696C" w:rsidRDefault="0026696C" w:rsidP="00E5106B">
            <w:pPr>
              <w:rPr>
                <w:rFonts w:eastAsia="Times New Roman"/>
                <w:lang w:val="en-GB"/>
              </w:rPr>
            </w:pPr>
          </w:p>
          <w:p w14:paraId="0022925B" w14:textId="77777777" w:rsidR="0026696C" w:rsidRPr="00596799" w:rsidRDefault="0026696C" w:rsidP="00E5106B">
            <w:pPr>
              <w:rPr>
                <w:rFonts w:eastAsia="Times New Roman"/>
                <w:lang w:val="en-GB"/>
              </w:rPr>
            </w:pPr>
          </w:p>
          <w:p w14:paraId="30E81B58" w14:textId="77777777" w:rsidR="001171B8" w:rsidRPr="002272EB" w:rsidRDefault="001171B8" w:rsidP="00A07FA7">
            <w:pPr>
              <w:rPr>
                <w:rFonts w:eastAsia="Times New Roman"/>
                <w:lang w:val="en-US"/>
              </w:rPr>
            </w:pPr>
          </w:p>
        </w:tc>
        <w:tc>
          <w:tcPr>
            <w:tcW w:w="5244" w:type="dxa"/>
          </w:tcPr>
          <w:p w14:paraId="536DBC42" w14:textId="1F4E1950" w:rsidR="001171B8" w:rsidRDefault="00130B28" w:rsidP="00652449">
            <w:pPr>
              <w:rPr>
                <w:lang w:val="en-GB"/>
              </w:rPr>
            </w:pPr>
            <w:r w:rsidRPr="007179CD">
              <w:rPr>
                <w:lang w:val="en-GB"/>
              </w:rPr>
              <w:t>The Government of Albania is just establishing a system for VAT exemption which is still under construction. The procedure will be thus clarified during the early stage of implementation.</w:t>
            </w:r>
          </w:p>
        </w:tc>
      </w:tr>
      <w:tr w:rsidR="00B51951" w:rsidRPr="008C5A43" w14:paraId="0BF21DDE" w14:textId="77777777" w:rsidTr="00284A07">
        <w:tc>
          <w:tcPr>
            <w:tcW w:w="562" w:type="dxa"/>
          </w:tcPr>
          <w:p w14:paraId="1C1AB724" w14:textId="115B7732" w:rsidR="00B51951" w:rsidRDefault="00B51951" w:rsidP="00652449">
            <w:pPr>
              <w:rPr>
                <w:rFonts w:eastAsia="Times New Roman"/>
                <w:lang w:val="en-GB"/>
              </w:rPr>
            </w:pPr>
            <w:r>
              <w:rPr>
                <w:rFonts w:eastAsia="Times New Roman"/>
                <w:lang w:val="en-GB"/>
              </w:rPr>
              <w:t>35</w:t>
            </w:r>
          </w:p>
        </w:tc>
        <w:tc>
          <w:tcPr>
            <w:tcW w:w="4962" w:type="dxa"/>
          </w:tcPr>
          <w:p w14:paraId="1573FA87" w14:textId="2965BDAE" w:rsidR="00596799" w:rsidRPr="002272EB" w:rsidRDefault="00596799" w:rsidP="00F537BB">
            <w:pPr>
              <w:rPr>
                <w:rFonts w:eastAsia="Times New Roman"/>
                <w:lang w:val="en-US"/>
              </w:rPr>
            </w:pPr>
            <w:r w:rsidRPr="00596799">
              <w:rPr>
                <w:rFonts w:eastAsia="Times New Roman"/>
                <w:lang w:val="en-GB"/>
              </w:rPr>
              <w:t xml:space="preserve">Appendix B did not include any </w:t>
            </w:r>
            <w:r w:rsidRPr="00596799">
              <w:rPr>
                <w:rFonts w:eastAsia="Times New Roman"/>
                <w:b/>
                <w:bCs/>
                <w:lang w:val="en-GB"/>
              </w:rPr>
              <w:t>Indexation clauses</w:t>
            </w:r>
            <w:r w:rsidRPr="00596799">
              <w:rPr>
                <w:rFonts w:eastAsia="Times New Roman"/>
                <w:lang w:val="en-GB"/>
              </w:rPr>
              <w:t xml:space="preserve"> according to </w:t>
            </w:r>
            <w:proofErr w:type="spellStart"/>
            <w:r w:rsidRPr="00596799">
              <w:rPr>
                <w:rFonts w:eastAsia="Times New Roman"/>
                <w:lang w:val="en-GB"/>
              </w:rPr>
              <w:t>Faktorprisindex</w:t>
            </w:r>
            <w:proofErr w:type="spellEnd"/>
            <w:r w:rsidRPr="00596799">
              <w:rPr>
                <w:rFonts w:eastAsia="Times New Roman"/>
                <w:lang w:val="en-GB"/>
              </w:rPr>
              <w:t xml:space="preserve"> för </w:t>
            </w:r>
            <w:proofErr w:type="spellStart"/>
            <w:r w:rsidRPr="00596799">
              <w:rPr>
                <w:rFonts w:eastAsia="Times New Roman"/>
                <w:lang w:val="en-GB"/>
              </w:rPr>
              <w:t>konsulttjänster</w:t>
            </w:r>
            <w:proofErr w:type="spellEnd"/>
            <w:r w:rsidRPr="00596799">
              <w:rPr>
                <w:rFonts w:eastAsia="Times New Roman"/>
                <w:lang w:val="en-GB"/>
              </w:rPr>
              <w:t>, K21 (previously K84). Since this is a 5-year contract, please confirm that the Supplier will be allowed to carry out contract modification with indexation to allow for compensating the staff for cost-of-living increases.</w:t>
            </w:r>
          </w:p>
          <w:p w14:paraId="47F0AD41" w14:textId="77777777" w:rsidR="00B51951" w:rsidRPr="002272EB" w:rsidRDefault="00B51951" w:rsidP="00A07FA7">
            <w:pPr>
              <w:rPr>
                <w:rFonts w:eastAsia="Times New Roman"/>
                <w:lang w:val="en-US"/>
              </w:rPr>
            </w:pPr>
          </w:p>
        </w:tc>
        <w:tc>
          <w:tcPr>
            <w:tcW w:w="5244" w:type="dxa"/>
          </w:tcPr>
          <w:p w14:paraId="02BEACD1" w14:textId="729432A8" w:rsidR="003A14FA" w:rsidRPr="007179CD" w:rsidRDefault="00E31C03" w:rsidP="0047314C">
            <w:pPr>
              <w:rPr>
                <w:lang w:val="en-US"/>
              </w:rPr>
            </w:pPr>
            <w:r w:rsidRPr="007179CD">
              <w:rPr>
                <w:lang w:val="en-GB"/>
              </w:rPr>
              <w:t>A</w:t>
            </w:r>
            <w:r w:rsidR="00D05F88" w:rsidRPr="007179CD">
              <w:rPr>
                <w:lang w:val="en-GB"/>
              </w:rPr>
              <w:t xml:space="preserve"> suitable</w:t>
            </w:r>
            <w:r w:rsidRPr="007179CD">
              <w:rPr>
                <w:lang w:val="en-GB"/>
              </w:rPr>
              <w:t xml:space="preserve"> indexation clause</w:t>
            </w:r>
            <w:r w:rsidR="00625A18" w:rsidRPr="007179CD">
              <w:rPr>
                <w:lang w:val="en-GB"/>
              </w:rPr>
              <w:t xml:space="preserve">, such as </w:t>
            </w:r>
            <w:proofErr w:type="spellStart"/>
            <w:r w:rsidR="00D7341D" w:rsidRPr="00D7341D">
              <w:rPr>
                <w:rFonts w:eastAsia="Times New Roman"/>
                <w:lang w:val="en-GB"/>
              </w:rPr>
              <w:t>Faktorprisindex</w:t>
            </w:r>
            <w:proofErr w:type="spellEnd"/>
            <w:r w:rsidR="00D7341D" w:rsidRPr="00D7341D">
              <w:rPr>
                <w:rFonts w:eastAsia="Times New Roman"/>
                <w:lang w:val="en-GB"/>
              </w:rPr>
              <w:t xml:space="preserve"> för</w:t>
            </w:r>
            <w:r w:rsidR="00D7341D" w:rsidRPr="00D7341D">
              <w:rPr>
                <w:lang w:val="en-GB"/>
              </w:rPr>
              <w:t xml:space="preserve"> </w:t>
            </w:r>
            <w:proofErr w:type="spellStart"/>
            <w:r w:rsidR="002A5EE9" w:rsidRPr="00D7341D">
              <w:rPr>
                <w:lang w:val="en-GB"/>
              </w:rPr>
              <w:t>konsulttjänster</w:t>
            </w:r>
            <w:proofErr w:type="spellEnd"/>
            <w:r w:rsidR="002A5EE9" w:rsidRPr="00D7341D">
              <w:rPr>
                <w:lang w:val="en-GB"/>
              </w:rPr>
              <w:t>, K21 (previously K84)</w:t>
            </w:r>
            <w:r w:rsidR="00D7341D">
              <w:rPr>
                <w:lang w:val="en-GB"/>
              </w:rPr>
              <w:t>,</w:t>
            </w:r>
            <w:r w:rsidRPr="007179CD">
              <w:rPr>
                <w:lang w:val="en-GB"/>
              </w:rPr>
              <w:t xml:space="preserve"> </w:t>
            </w:r>
            <w:r w:rsidR="009D6C19" w:rsidRPr="007179CD">
              <w:rPr>
                <w:lang w:val="en-GB"/>
              </w:rPr>
              <w:t>for the experts’ fees</w:t>
            </w:r>
            <w:r w:rsidR="001B7DA8" w:rsidRPr="007179CD">
              <w:rPr>
                <w:lang w:val="en-GB"/>
              </w:rPr>
              <w:t>, taking account of</w:t>
            </w:r>
            <w:r w:rsidR="00FB0E21" w:rsidRPr="007179CD">
              <w:rPr>
                <w:lang w:val="en-GB"/>
              </w:rPr>
              <w:t xml:space="preserve"> actual</w:t>
            </w:r>
            <w:r w:rsidR="001B7DA8" w:rsidRPr="007179CD">
              <w:rPr>
                <w:lang w:val="en-GB"/>
              </w:rPr>
              <w:t xml:space="preserve"> increases in </w:t>
            </w:r>
            <w:r w:rsidR="00FB0E21" w:rsidRPr="007179CD">
              <w:rPr>
                <w:lang w:val="en-GB"/>
              </w:rPr>
              <w:t xml:space="preserve">the cost-of -living, </w:t>
            </w:r>
            <w:r w:rsidR="009D6C19" w:rsidRPr="007179CD">
              <w:rPr>
                <w:lang w:val="en-GB"/>
              </w:rPr>
              <w:t>will</w:t>
            </w:r>
            <w:r w:rsidRPr="007179CD">
              <w:rPr>
                <w:lang w:val="en-GB"/>
              </w:rPr>
              <w:t xml:space="preserve"> be </w:t>
            </w:r>
            <w:r w:rsidR="00D05F88" w:rsidRPr="007179CD">
              <w:rPr>
                <w:lang w:val="en-GB"/>
              </w:rPr>
              <w:t>added to the negotiated contract</w:t>
            </w:r>
            <w:r w:rsidR="00FB0E21" w:rsidRPr="007179CD">
              <w:rPr>
                <w:lang w:val="en-GB"/>
              </w:rPr>
              <w:t>.</w:t>
            </w:r>
          </w:p>
          <w:p w14:paraId="773373E5" w14:textId="46CAE1E2" w:rsidR="0047314C" w:rsidRPr="002272EB" w:rsidRDefault="0047314C" w:rsidP="00652449">
            <w:pPr>
              <w:rPr>
                <w:lang w:val="en-US"/>
              </w:rPr>
            </w:pPr>
          </w:p>
        </w:tc>
      </w:tr>
    </w:tbl>
    <w:p w14:paraId="7D6193D9" w14:textId="77777777" w:rsidR="007B2760" w:rsidRPr="00652449" w:rsidRDefault="007B2760">
      <w:pPr>
        <w:rPr>
          <w:rFonts w:eastAsia="Times New Roman"/>
          <w:lang w:val="en-GB"/>
        </w:rPr>
      </w:pPr>
    </w:p>
    <w:sectPr w:rsidR="007B2760" w:rsidRPr="00652449" w:rsidSect="005445E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12470"/>
    <w:multiLevelType w:val="hybridMultilevel"/>
    <w:tmpl w:val="0AFCACC8"/>
    <w:lvl w:ilvl="0" w:tplc="1560823E">
      <w:start w:val="1"/>
      <w:numFmt w:val="decimal"/>
      <w:lvlText w:val="%1)"/>
      <w:lvlJc w:val="left"/>
      <w:pPr>
        <w:ind w:left="720" w:hanging="360"/>
      </w:pPr>
      <w:rPr>
        <w:rFonts w:hint="default"/>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DE75905"/>
    <w:multiLevelType w:val="hybridMultilevel"/>
    <w:tmpl w:val="666CAF04"/>
    <w:lvl w:ilvl="0" w:tplc="FFFFFFFF">
      <w:start w:val="1"/>
      <w:numFmt w:val="decimal"/>
      <w:lvlText w:val="%1."/>
      <w:lvlJc w:val="left"/>
      <w:pPr>
        <w:ind w:left="720" w:hanging="360"/>
      </w:pPr>
      <w:rPr>
        <w:sz w:val="23"/>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ED1739A"/>
    <w:multiLevelType w:val="multilevel"/>
    <w:tmpl w:val="586A3D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27F264B"/>
    <w:multiLevelType w:val="multilevel"/>
    <w:tmpl w:val="586A3D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57625DC"/>
    <w:multiLevelType w:val="multilevel"/>
    <w:tmpl w:val="586A3D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831681A"/>
    <w:multiLevelType w:val="hybridMultilevel"/>
    <w:tmpl w:val="02A01E4A"/>
    <w:lvl w:ilvl="0" w:tplc="3A9246E8">
      <w:start w:val="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E102E28"/>
    <w:multiLevelType w:val="hybridMultilevel"/>
    <w:tmpl w:val="25102354"/>
    <w:lvl w:ilvl="0" w:tplc="3A9246E8">
      <w:start w:val="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0E12679"/>
    <w:multiLevelType w:val="hybridMultilevel"/>
    <w:tmpl w:val="7EAC0E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18A1C47"/>
    <w:multiLevelType w:val="multilevel"/>
    <w:tmpl w:val="05B690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3C2278D"/>
    <w:multiLevelType w:val="hybridMultilevel"/>
    <w:tmpl w:val="A766607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A527F17"/>
    <w:multiLevelType w:val="multilevel"/>
    <w:tmpl w:val="586A3D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ACC2B6F"/>
    <w:multiLevelType w:val="multilevel"/>
    <w:tmpl w:val="05B690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25A0DA0"/>
    <w:multiLevelType w:val="hybridMultilevel"/>
    <w:tmpl w:val="E96C7D5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3" w15:restartNumberingAfterBreak="0">
    <w:nsid w:val="54AB70AE"/>
    <w:multiLevelType w:val="multilevel"/>
    <w:tmpl w:val="586A3D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A4A2539"/>
    <w:multiLevelType w:val="hybridMultilevel"/>
    <w:tmpl w:val="666CAF04"/>
    <w:lvl w:ilvl="0" w:tplc="0809000F">
      <w:start w:val="1"/>
      <w:numFmt w:val="decimal"/>
      <w:lvlText w:val="%1."/>
      <w:lvlJc w:val="left"/>
      <w:pPr>
        <w:ind w:left="720" w:hanging="360"/>
      </w:pPr>
      <w:rPr>
        <w:sz w:val="23"/>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6678529E"/>
    <w:multiLevelType w:val="multilevel"/>
    <w:tmpl w:val="586A3D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5701F42"/>
    <w:multiLevelType w:val="hybridMultilevel"/>
    <w:tmpl w:val="EF9493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2431060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0530681">
    <w:abstractNumId w:val="5"/>
  </w:num>
  <w:num w:numId="3" w16cid:durableId="1619602328">
    <w:abstractNumId w:val="6"/>
  </w:num>
  <w:num w:numId="4" w16cid:durableId="26181379">
    <w:abstractNumId w:val="14"/>
  </w:num>
  <w:num w:numId="5" w16cid:durableId="1812363517">
    <w:abstractNumId w:val="1"/>
  </w:num>
  <w:num w:numId="6" w16cid:durableId="177837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5494981">
    <w:abstractNumId w:val="8"/>
  </w:num>
  <w:num w:numId="8" w16cid:durableId="9867875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3461191">
    <w:abstractNumId w:val="2"/>
  </w:num>
  <w:num w:numId="10" w16cid:durableId="841434550">
    <w:abstractNumId w:val="3"/>
  </w:num>
  <w:num w:numId="11" w16cid:durableId="354115809">
    <w:abstractNumId w:val="4"/>
  </w:num>
  <w:num w:numId="12" w16cid:durableId="1893882180">
    <w:abstractNumId w:val="10"/>
  </w:num>
  <w:num w:numId="13" w16cid:durableId="157502069">
    <w:abstractNumId w:val="13"/>
  </w:num>
  <w:num w:numId="14" w16cid:durableId="1884753875">
    <w:abstractNumId w:val="9"/>
  </w:num>
  <w:num w:numId="15" w16cid:durableId="15740458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98716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7399959">
    <w:abstractNumId w:val="0"/>
  </w:num>
  <w:num w:numId="18" w16cid:durableId="18480108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A70"/>
    <w:rsid w:val="00001941"/>
    <w:rsid w:val="00005DB4"/>
    <w:rsid w:val="00021AF4"/>
    <w:rsid w:val="0002399D"/>
    <w:rsid w:val="00023C16"/>
    <w:rsid w:val="00031AEB"/>
    <w:rsid w:val="00035F4F"/>
    <w:rsid w:val="00036525"/>
    <w:rsid w:val="0005179E"/>
    <w:rsid w:val="00051D6C"/>
    <w:rsid w:val="00053E8F"/>
    <w:rsid w:val="000573B3"/>
    <w:rsid w:val="000661C9"/>
    <w:rsid w:val="00072C9A"/>
    <w:rsid w:val="00073E8E"/>
    <w:rsid w:val="0007780C"/>
    <w:rsid w:val="00081611"/>
    <w:rsid w:val="00083C02"/>
    <w:rsid w:val="000914F4"/>
    <w:rsid w:val="0009283A"/>
    <w:rsid w:val="00097C9E"/>
    <w:rsid w:val="000A17A5"/>
    <w:rsid w:val="000A18F2"/>
    <w:rsid w:val="000A2D71"/>
    <w:rsid w:val="000B58F5"/>
    <w:rsid w:val="000C19A2"/>
    <w:rsid w:val="000E2C12"/>
    <w:rsid w:val="000E5259"/>
    <w:rsid w:val="000F0341"/>
    <w:rsid w:val="000F0B79"/>
    <w:rsid w:val="000F1CEC"/>
    <w:rsid w:val="000F3AAE"/>
    <w:rsid w:val="000F6A16"/>
    <w:rsid w:val="00111C0E"/>
    <w:rsid w:val="001171B8"/>
    <w:rsid w:val="00130B28"/>
    <w:rsid w:val="001366D0"/>
    <w:rsid w:val="001369A4"/>
    <w:rsid w:val="001419F4"/>
    <w:rsid w:val="00142593"/>
    <w:rsid w:val="00144130"/>
    <w:rsid w:val="00147A33"/>
    <w:rsid w:val="001654C4"/>
    <w:rsid w:val="001735E6"/>
    <w:rsid w:val="001736DB"/>
    <w:rsid w:val="00196198"/>
    <w:rsid w:val="001A43CE"/>
    <w:rsid w:val="001B4988"/>
    <w:rsid w:val="001B7A55"/>
    <w:rsid w:val="001B7DA8"/>
    <w:rsid w:val="001C08F2"/>
    <w:rsid w:val="001C1CF6"/>
    <w:rsid w:val="001C50F2"/>
    <w:rsid w:val="001D3833"/>
    <w:rsid w:val="001E4F54"/>
    <w:rsid w:val="001F4782"/>
    <w:rsid w:val="001F64AC"/>
    <w:rsid w:val="00201996"/>
    <w:rsid w:val="00203C78"/>
    <w:rsid w:val="00214D9D"/>
    <w:rsid w:val="00225DBF"/>
    <w:rsid w:val="002272EB"/>
    <w:rsid w:val="00240B56"/>
    <w:rsid w:val="0024425B"/>
    <w:rsid w:val="002456AE"/>
    <w:rsid w:val="002549DF"/>
    <w:rsid w:val="00255667"/>
    <w:rsid w:val="0025716A"/>
    <w:rsid w:val="002579E4"/>
    <w:rsid w:val="002616AF"/>
    <w:rsid w:val="0026696C"/>
    <w:rsid w:val="00266E84"/>
    <w:rsid w:val="002807D1"/>
    <w:rsid w:val="00280F18"/>
    <w:rsid w:val="00281EB8"/>
    <w:rsid w:val="00284A07"/>
    <w:rsid w:val="0029103B"/>
    <w:rsid w:val="00291047"/>
    <w:rsid w:val="0029406F"/>
    <w:rsid w:val="002A2054"/>
    <w:rsid w:val="002A4746"/>
    <w:rsid w:val="002A5EE9"/>
    <w:rsid w:val="002B3D98"/>
    <w:rsid w:val="002B670C"/>
    <w:rsid w:val="002B6D2C"/>
    <w:rsid w:val="002C39D4"/>
    <w:rsid w:val="002C7011"/>
    <w:rsid w:val="002C7BC7"/>
    <w:rsid w:val="002D309B"/>
    <w:rsid w:val="002D5FF7"/>
    <w:rsid w:val="002E64C5"/>
    <w:rsid w:val="002F4A70"/>
    <w:rsid w:val="002F5A79"/>
    <w:rsid w:val="003025C8"/>
    <w:rsid w:val="00306895"/>
    <w:rsid w:val="00311AA3"/>
    <w:rsid w:val="00326773"/>
    <w:rsid w:val="00330F82"/>
    <w:rsid w:val="00333788"/>
    <w:rsid w:val="0034488D"/>
    <w:rsid w:val="00345F9C"/>
    <w:rsid w:val="003476F5"/>
    <w:rsid w:val="00353CAE"/>
    <w:rsid w:val="00362773"/>
    <w:rsid w:val="00373222"/>
    <w:rsid w:val="0038159A"/>
    <w:rsid w:val="00384095"/>
    <w:rsid w:val="003850FD"/>
    <w:rsid w:val="003A0BBA"/>
    <w:rsid w:val="003A0F6A"/>
    <w:rsid w:val="003A14FA"/>
    <w:rsid w:val="003A2590"/>
    <w:rsid w:val="003B2054"/>
    <w:rsid w:val="003B4611"/>
    <w:rsid w:val="003B7CB9"/>
    <w:rsid w:val="003C22D1"/>
    <w:rsid w:val="003C6D53"/>
    <w:rsid w:val="003D2B2E"/>
    <w:rsid w:val="003D2E85"/>
    <w:rsid w:val="003E3AB4"/>
    <w:rsid w:val="003E663D"/>
    <w:rsid w:val="00403222"/>
    <w:rsid w:val="00403C6B"/>
    <w:rsid w:val="00413A96"/>
    <w:rsid w:val="00423A41"/>
    <w:rsid w:val="00425A35"/>
    <w:rsid w:val="004270AA"/>
    <w:rsid w:val="0043439E"/>
    <w:rsid w:val="00442DBA"/>
    <w:rsid w:val="0044462E"/>
    <w:rsid w:val="0044516F"/>
    <w:rsid w:val="00464C99"/>
    <w:rsid w:val="004666BB"/>
    <w:rsid w:val="00466CBE"/>
    <w:rsid w:val="00472EF7"/>
    <w:rsid w:val="0047314C"/>
    <w:rsid w:val="0048030B"/>
    <w:rsid w:val="004814FB"/>
    <w:rsid w:val="004848DC"/>
    <w:rsid w:val="004927F0"/>
    <w:rsid w:val="004A700E"/>
    <w:rsid w:val="004B1D90"/>
    <w:rsid w:val="004C239F"/>
    <w:rsid w:val="004C716D"/>
    <w:rsid w:val="004D2281"/>
    <w:rsid w:val="004D3BA2"/>
    <w:rsid w:val="004D5AB9"/>
    <w:rsid w:val="004D72F8"/>
    <w:rsid w:val="004D7654"/>
    <w:rsid w:val="004E3CB1"/>
    <w:rsid w:val="004E4415"/>
    <w:rsid w:val="004E79B0"/>
    <w:rsid w:val="004F1DE5"/>
    <w:rsid w:val="004F7221"/>
    <w:rsid w:val="00500032"/>
    <w:rsid w:val="00502FC6"/>
    <w:rsid w:val="00503E7D"/>
    <w:rsid w:val="0051548C"/>
    <w:rsid w:val="0052115E"/>
    <w:rsid w:val="00525497"/>
    <w:rsid w:val="00531467"/>
    <w:rsid w:val="00532A6E"/>
    <w:rsid w:val="0053371E"/>
    <w:rsid w:val="005411C8"/>
    <w:rsid w:val="005430A5"/>
    <w:rsid w:val="005445ED"/>
    <w:rsid w:val="0056115F"/>
    <w:rsid w:val="00565333"/>
    <w:rsid w:val="00566292"/>
    <w:rsid w:val="005771E4"/>
    <w:rsid w:val="00596799"/>
    <w:rsid w:val="005A06B6"/>
    <w:rsid w:val="005A0E73"/>
    <w:rsid w:val="005A5A75"/>
    <w:rsid w:val="005A6EE8"/>
    <w:rsid w:val="005A7072"/>
    <w:rsid w:val="005B3B65"/>
    <w:rsid w:val="005C5CC1"/>
    <w:rsid w:val="005D2D0A"/>
    <w:rsid w:val="005D3F5E"/>
    <w:rsid w:val="005E3B45"/>
    <w:rsid w:val="005F0098"/>
    <w:rsid w:val="0060476B"/>
    <w:rsid w:val="006047F7"/>
    <w:rsid w:val="00607043"/>
    <w:rsid w:val="006076E0"/>
    <w:rsid w:val="0061151E"/>
    <w:rsid w:val="00611CC2"/>
    <w:rsid w:val="006148CB"/>
    <w:rsid w:val="0062143B"/>
    <w:rsid w:val="00625A18"/>
    <w:rsid w:val="00627307"/>
    <w:rsid w:val="006312FD"/>
    <w:rsid w:val="00644FB9"/>
    <w:rsid w:val="006521ED"/>
    <w:rsid w:val="00652449"/>
    <w:rsid w:val="00652F32"/>
    <w:rsid w:val="00654C2C"/>
    <w:rsid w:val="00657AB7"/>
    <w:rsid w:val="00660819"/>
    <w:rsid w:val="0066298B"/>
    <w:rsid w:val="00671107"/>
    <w:rsid w:val="0067496F"/>
    <w:rsid w:val="00674F77"/>
    <w:rsid w:val="00676C96"/>
    <w:rsid w:val="0068491E"/>
    <w:rsid w:val="00693740"/>
    <w:rsid w:val="00693D76"/>
    <w:rsid w:val="006A635A"/>
    <w:rsid w:val="006A7217"/>
    <w:rsid w:val="006B4250"/>
    <w:rsid w:val="006C2379"/>
    <w:rsid w:val="006C30AB"/>
    <w:rsid w:val="006D5E5A"/>
    <w:rsid w:val="006D7FA4"/>
    <w:rsid w:val="006E17EF"/>
    <w:rsid w:val="006E18E7"/>
    <w:rsid w:val="006F6767"/>
    <w:rsid w:val="006F6B55"/>
    <w:rsid w:val="006F7448"/>
    <w:rsid w:val="007045C6"/>
    <w:rsid w:val="00706CF7"/>
    <w:rsid w:val="007133DD"/>
    <w:rsid w:val="00714FCB"/>
    <w:rsid w:val="007157D6"/>
    <w:rsid w:val="0071681B"/>
    <w:rsid w:val="007179CD"/>
    <w:rsid w:val="0073054A"/>
    <w:rsid w:val="007356E6"/>
    <w:rsid w:val="0074074F"/>
    <w:rsid w:val="00743DA0"/>
    <w:rsid w:val="00746A62"/>
    <w:rsid w:val="007505B8"/>
    <w:rsid w:val="00754D33"/>
    <w:rsid w:val="00771628"/>
    <w:rsid w:val="007816B6"/>
    <w:rsid w:val="007845B3"/>
    <w:rsid w:val="007878D5"/>
    <w:rsid w:val="007A12D0"/>
    <w:rsid w:val="007A3C1A"/>
    <w:rsid w:val="007B2760"/>
    <w:rsid w:val="007C310E"/>
    <w:rsid w:val="007C4FB2"/>
    <w:rsid w:val="007D11C0"/>
    <w:rsid w:val="007E31B6"/>
    <w:rsid w:val="007E6456"/>
    <w:rsid w:val="00806A81"/>
    <w:rsid w:val="0081230D"/>
    <w:rsid w:val="008127DA"/>
    <w:rsid w:val="00821012"/>
    <w:rsid w:val="00827568"/>
    <w:rsid w:val="00827CB0"/>
    <w:rsid w:val="00834236"/>
    <w:rsid w:val="008356F8"/>
    <w:rsid w:val="00836B27"/>
    <w:rsid w:val="00845292"/>
    <w:rsid w:val="008565EC"/>
    <w:rsid w:val="00864D4B"/>
    <w:rsid w:val="00866262"/>
    <w:rsid w:val="0087347F"/>
    <w:rsid w:val="00880A89"/>
    <w:rsid w:val="00890286"/>
    <w:rsid w:val="00893F34"/>
    <w:rsid w:val="008A235E"/>
    <w:rsid w:val="008A3566"/>
    <w:rsid w:val="008A7E3B"/>
    <w:rsid w:val="008B050D"/>
    <w:rsid w:val="008B575C"/>
    <w:rsid w:val="008B5E4A"/>
    <w:rsid w:val="008C485A"/>
    <w:rsid w:val="008C5A43"/>
    <w:rsid w:val="008C5E5B"/>
    <w:rsid w:val="008C74C3"/>
    <w:rsid w:val="008D16E3"/>
    <w:rsid w:val="008F0AA6"/>
    <w:rsid w:val="009011A1"/>
    <w:rsid w:val="00905933"/>
    <w:rsid w:val="00916557"/>
    <w:rsid w:val="00916BB5"/>
    <w:rsid w:val="00932224"/>
    <w:rsid w:val="00937DDE"/>
    <w:rsid w:val="00960F6F"/>
    <w:rsid w:val="009624CC"/>
    <w:rsid w:val="009774FA"/>
    <w:rsid w:val="00981DBC"/>
    <w:rsid w:val="0099587D"/>
    <w:rsid w:val="009971ED"/>
    <w:rsid w:val="009A2810"/>
    <w:rsid w:val="009A7D0D"/>
    <w:rsid w:val="009C5601"/>
    <w:rsid w:val="009D14C3"/>
    <w:rsid w:val="009D3B1E"/>
    <w:rsid w:val="009D6C19"/>
    <w:rsid w:val="009D6C6D"/>
    <w:rsid w:val="009E1E42"/>
    <w:rsid w:val="009E25BE"/>
    <w:rsid w:val="009E6128"/>
    <w:rsid w:val="009E7FA7"/>
    <w:rsid w:val="00A03D30"/>
    <w:rsid w:val="00A06138"/>
    <w:rsid w:val="00A07FA7"/>
    <w:rsid w:val="00A10A8E"/>
    <w:rsid w:val="00A1116A"/>
    <w:rsid w:val="00A14868"/>
    <w:rsid w:val="00A14E82"/>
    <w:rsid w:val="00A33585"/>
    <w:rsid w:val="00A3452D"/>
    <w:rsid w:val="00A36BFB"/>
    <w:rsid w:val="00A37D70"/>
    <w:rsid w:val="00A42428"/>
    <w:rsid w:val="00A54A1C"/>
    <w:rsid w:val="00A61FA1"/>
    <w:rsid w:val="00A673AF"/>
    <w:rsid w:val="00A77C7F"/>
    <w:rsid w:val="00A83547"/>
    <w:rsid w:val="00A934BE"/>
    <w:rsid w:val="00A95DAB"/>
    <w:rsid w:val="00AA236E"/>
    <w:rsid w:val="00AA6864"/>
    <w:rsid w:val="00AB1FD5"/>
    <w:rsid w:val="00AB53F7"/>
    <w:rsid w:val="00AB57C8"/>
    <w:rsid w:val="00AC172D"/>
    <w:rsid w:val="00AC1CF8"/>
    <w:rsid w:val="00AE1B27"/>
    <w:rsid w:val="00AE3B9D"/>
    <w:rsid w:val="00AF18F8"/>
    <w:rsid w:val="00B05BB2"/>
    <w:rsid w:val="00B2324B"/>
    <w:rsid w:val="00B25278"/>
    <w:rsid w:val="00B32AB6"/>
    <w:rsid w:val="00B350AD"/>
    <w:rsid w:val="00B434D7"/>
    <w:rsid w:val="00B46EFB"/>
    <w:rsid w:val="00B51951"/>
    <w:rsid w:val="00B51BAD"/>
    <w:rsid w:val="00B53908"/>
    <w:rsid w:val="00B57E4B"/>
    <w:rsid w:val="00B57FEF"/>
    <w:rsid w:val="00B601F0"/>
    <w:rsid w:val="00B62765"/>
    <w:rsid w:val="00B6650C"/>
    <w:rsid w:val="00B72443"/>
    <w:rsid w:val="00B73259"/>
    <w:rsid w:val="00B77148"/>
    <w:rsid w:val="00B81902"/>
    <w:rsid w:val="00B81A78"/>
    <w:rsid w:val="00B85000"/>
    <w:rsid w:val="00B87E46"/>
    <w:rsid w:val="00B90AAE"/>
    <w:rsid w:val="00B95164"/>
    <w:rsid w:val="00BA0016"/>
    <w:rsid w:val="00BA0625"/>
    <w:rsid w:val="00BA50EC"/>
    <w:rsid w:val="00BA7D04"/>
    <w:rsid w:val="00BB3659"/>
    <w:rsid w:val="00BB476C"/>
    <w:rsid w:val="00BC1E43"/>
    <w:rsid w:val="00BC1E6F"/>
    <w:rsid w:val="00BC60FF"/>
    <w:rsid w:val="00BC6277"/>
    <w:rsid w:val="00BC63E8"/>
    <w:rsid w:val="00BD1265"/>
    <w:rsid w:val="00BD3892"/>
    <w:rsid w:val="00BD3DCB"/>
    <w:rsid w:val="00BD41C1"/>
    <w:rsid w:val="00BF1CF6"/>
    <w:rsid w:val="00BF57D2"/>
    <w:rsid w:val="00BF6F45"/>
    <w:rsid w:val="00C03B20"/>
    <w:rsid w:val="00C10F9C"/>
    <w:rsid w:val="00C14F24"/>
    <w:rsid w:val="00C20587"/>
    <w:rsid w:val="00C20FBF"/>
    <w:rsid w:val="00C3472A"/>
    <w:rsid w:val="00C36327"/>
    <w:rsid w:val="00C37D47"/>
    <w:rsid w:val="00C4640A"/>
    <w:rsid w:val="00C610CD"/>
    <w:rsid w:val="00C65A6D"/>
    <w:rsid w:val="00C67465"/>
    <w:rsid w:val="00C729F6"/>
    <w:rsid w:val="00C80F10"/>
    <w:rsid w:val="00C83A05"/>
    <w:rsid w:val="00C83CF2"/>
    <w:rsid w:val="00C85E88"/>
    <w:rsid w:val="00C86BF1"/>
    <w:rsid w:val="00C952C1"/>
    <w:rsid w:val="00CA42DC"/>
    <w:rsid w:val="00CB0FBB"/>
    <w:rsid w:val="00CB33A5"/>
    <w:rsid w:val="00CB4FDD"/>
    <w:rsid w:val="00CC3725"/>
    <w:rsid w:val="00CD5FAD"/>
    <w:rsid w:val="00CF0B38"/>
    <w:rsid w:val="00CF3C54"/>
    <w:rsid w:val="00CF539E"/>
    <w:rsid w:val="00D0019A"/>
    <w:rsid w:val="00D00D33"/>
    <w:rsid w:val="00D05F88"/>
    <w:rsid w:val="00D077C2"/>
    <w:rsid w:val="00D223BD"/>
    <w:rsid w:val="00D274A0"/>
    <w:rsid w:val="00D53CB1"/>
    <w:rsid w:val="00D6170A"/>
    <w:rsid w:val="00D7341D"/>
    <w:rsid w:val="00D768DC"/>
    <w:rsid w:val="00D82EBF"/>
    <w:rsid w:val="00D84F81"/>
    <w:rsid w:val="00DA6866"/>
    <w:rsid w:val="00DC3526"/>
    <w:rsid w:val="00DD2FF1"/>
    <w:rsid w:val="00DD4C95"/>
    <w:rsid w:val="00DD66B1"/>
    <w:rsid w:val="00DF03E1"/>
    <w:rsid w:val="00DF61FB"/>
    <w:rsid w:val="00E05396"/>
    <w:rsid w:val="00E07CB9"/>
    <w:rsid w:val="00E122CF"/>
    <w:rsid w:val="00E1241E"/>
    <w:rsid w:val="00E23C33"/>
    <w:rsid w:val="00E24C8A"/>
    <w:rsid w:val="00E3022B"/>
    <w:rsid w:val="00E31C03"/>
    <w:rsid w:val="00E33299"/>
    <w:rsid w:val="00E346A8"/>
    <w:rsid w:val="00E3739D"/>
    <w:rsid w:val="00E42E20"/>
    <w:rsid w:val="00E5106B"/>
    <w:rsid w:val="00E65747"/>
    <w:rsid w:val="00E70B85"/>
    <w:rsid w:val="00E70BBA"/>
    <w:rsid w:val="00E730B5"/>
    <w:rsid w:val="00E75273"/>
    <w:rsid w:val="00E823B9"/>
    <w:rsid w:val="00E8562A"/>
    <w:rsid w:val="00E92F5D"/>
    <w:rsid w:val="00E932BC"/>
    <w:rsid w:val="00EA392F"/>
    <w:rsid w:val="00EA6D2B"/>
    <w:rsid w:val="00EC559E"/>
    <w:rsid w:val="00EC74E9"/>
    <w:rsid w:val="00EE2759"/>
    <w:rsid w:val="00EE56CE"/>
    <w:rsid w:val="00EE7172"/>
    <w:rsid w:val="00EF0B66"/>
    <w:rsid w:val="00EF18D2"/>
    <w:rsid w:val="00EF30D1"/>
    <w:rsid w:val="00EF6AEE"/>
    <w:rsid w:val="00F12766"/>
    <w:rsid w:val="00F20BE4"/>
    <w:rsid w:val="00F240F8"/>
    <w:rsid w:val="00F3010A"/>
    <w:rsid w:val="00F43D49"/>
    <w:rsid w:val="00F537BB"/>
    <w:rsid w:val="00F54A11"/>
    <w:rsid w:val="00F5543C"/>
    <w:rsid w:val="00F55A08"/>
    <w:rsid w:val="00F67782"/>
    <w:rsid w:val="00F73F35"/>
    <w:rsid w:val="00F74D5E"/>
    <w:rsid w:val="00F90A45"/>
    <w:rsid w:val="00F90EE9"/>
    <w:rsid w:val="00F97663"/>
    <w:rsid w:val="00FA11F8"/>
    <w:rsid w:val="00FA4182"/>
    <w:rsid w:val="00FB0E21"/>
    <w:rsid w:val="00FB132E"/>
    <w:rsid w:val="00FC3733"/>
    <w:rsid w:val="00FE45A0"/>
    <w:rsid w:val="00FE6ABF"/>
    <w:rsid w:val="00FE7709"/>
    <w:rsid w:val="00FF01B2"/>
    <w:rsid w:val="00FF566E"/>
    <w:rsid w:val="00FF76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335F3"/>
  <w15:chartTrackingRefBased/>
  <w15:docId w15:val="{392BDC40-2ADE-4D37-9E14-4F3375330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6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lt">
    <w:name w:val="fält"/>
    <w:basedOn w:val="DefaultParagraphFont"/>
    <w:rsid w:val="00306895"/>
    <w:rPr>
      <w:noProof w:val="0"/>
      <w:color w:val="auto"/>
      <w:lang w:val="sv-SE"/>
    </w:rPr>
  </w:style>
  <w:style w:type="paragraph" w:customStyle="1" w:styleId="elementtoproof">
    <w:name w:val="elementtoproof"/>
    <w:basedOn w:val="Normal"/>
    <w:rsid w:val="006521ED"/>
    <w:pPr>
      <w:spacing w:after="0" w:line="240" w:lineRule="auto"/>
    </w:pPr>
    <w:rPr>
      <w:rFonts w:ascii="Calibri" w:hAnsi="Calibri" w:cs="Calibri"/>
      <w:kern w:val="0"/>
      <w:lang w:eastAsia="fr-FR"/>
      <w14:ligatures w14:val="none"/>
    </w:rPr>
  </w:style>
  <w:style w:type="character" w:styleId="Hyperlink">
    <w:name w:val="Hyperlink"/>
    <w:basedOn w:val="DefaultParagraphFont"/>
    <w:uiPriority w:val="99"/>
    <w:semiHidden/>
    <w:unhideWhenUsed/>
    <w:rsid w:val="005C5CC1"/>
    <w:rPr>
      <w:color w:val="0563C1"/>
      <w:u w:val="single"/>
    </w:rPr>
  </w:style>
  <w:style w:type="paragraph" w:styleId="ListParagraph">
    <w:name w:val="List Paragraph"/>
    <w:basedOn w:val="Normal"/>
    <w:uiPriority w:val="34"/>
    <w:qFormat/>
    <w:rsid w:val="005C5CC1"/>
    <w:pPr>
      <w:spacing w:line="252" w:lineRule="auto"/>
      <w:ind w:left="720"/>
      <w:contextualSpacing/>
    </w:pPr>
    <w:rPr>
      <w:rFonts w:ascii="Calibri" w:hAnsi="Calibri" w:cs="Calibri"/>
      <w:kern w:val="0"/>
      <w:lang w:eastAsia="fr-FR"/>
    </w:rPr>
  </w:style>
  <w:style w:type="paragraph" w:customStyle="1" w:styleId="Default">
    <w:name w:val="Default"/>
    <w:basedOn w:val="Normal"/>
    <w:rsid w:val="005C5CC1"/>
    <w:pPr>
      <w:autoSpaceDE w:val="0"/>
      <w:autoSpaceDN w:val="0"/>
      <w:spacing w:after="0" w:line="240" w:lineRule="auto"/>
    </w:pPr>
    <w:rPr>
      <w:rFonts w:ascii="Arial" w:hAnsi="Arial" w:cs="Arial"/>
      <w:color w:val="000000"/>
      <w:kern w:val="0"/>
      <w:sz w:val="24"/>
      <w:szCs w:val="24"/>
      <w:lang w:eastAsia="fr-FR"/>
      <w14:ligatures w14:val="none"/>
    </w:rPr>
  </w:style>
  <w:style w:type="character" w:customStyle="1" w:styleId="ui-provider">
    <w:name w:val="ui-provider"/>
    <w:basedOn w:val="DefaultParagraphFont"/>
    <w:rsid w:val="00932224"/>
  </w:style>
  <w:style w:type="paragraph" w:styleId="Revision">
    <w:name w:val="Revision"/>
    <w:hidden/>
    <w:uiPriority w:val="99"/>
    <w:semiHidden/>
    <w:rsid w:val="00C610CD"/>
    <w:pPr>
      <w:spacing w:after="0" w:line="240" w:lineRule="auto"/>
    </w:pPr>
  </w:style>
  <w:style w:type="paragraph" w:customStyle="1" w:styleId="xelementtoproof">
    <w:name w:val="xelementtoproof"/>
    <w:basedOn w:val="Normal"/>
    <w:rsid w:val="008B050D"/>
    <w:pPr>
      <w:spacing w:after="0" w:line="240" w:lineRule="auto"/>
    </w:pPr>
    <w:rPr>
      <w:rFonts w:ascii="Calibri" w:hAnsi="Calibri" w:cs="Calibri"/>
      <w:kern w:val="0"/>
      <w:lang w:eastAsia="fr-FR"/>
      <w14:ligatures w14:val="none"/>
    </w:rPr>
  </w:style>
  <w:style w:type="character" w:customStyle="1" w:styleId="contentpasted0">
    <w:name w:val="contentpasted0"/>
    <w:basedOn w:val="DefaultParagraphFont"/>
    <w:rsid w:val="008B050D"/>
  </w:style>
  <w:style w:type="character" w:customStyle="1" w:styleId="contentpasted1">
    <w:name w:val="contentpasted1"/>
    <w:basedOn w:val="DefaultParagraphFont"/>
    <w:rsid w:val="008B0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7753">
      <w:bodyDiv w:val="1"/>
      <w:marLeft w:val="0"/>
      <w:marRight w:val="0"/>
      <w:marTop w:val="0"/>
      <w:marBottom w:val="0"/>
      <w:divBdr>
        <w:top w:val="none" w:sz="0" w:space="0" w:color="auto"/>
        <w:left w:val="none" w:sz="0" w:space="0" w:color="auto"/>
        <w:bottom w:val="none" w:sz="0" w:space="0" w:color="auto"/>
        <w:right w:val="none" w:sz="0" w:space="0" w:color="auto"/>
      </w:divBdr>
    </w:div>
    <w:div w:id="116487468">
      <w:bodyDiv w:val="1"/>
      <w:marLeft w:val="0"/>
      <w:marRight w:val="0"/>
      <w:marTop w:val="0"/>
      <w:marBottom w:val="0"/>
      <w:divBdr>
        <w:top w:val="none" w:sz="0" w:space="0" w:color="auto"/>
        <w:left w:val="none" w:sz="0" w:space="0" w:color="auto"/>
        <w:bottom w:val="none" w:sz="0" w:space="0" w:color="auto"/>
        <w:right w:val="none" w:sz="0" w:space="0" w:color="auto"/>
      </w:divBdr>
    </w:div>
    <w:div w:id="159123794">
      <w:bodyDiv w:val="1"/>
      <w:marLeft w:val="0"/>
      <w:marRight w:val="0"/>
      <w:marTop w:val="0"/>
      <w:marBottom w:val="0"/>
      <w:divBdr>
        <w:top w:val="none" w:sz="0" w:space="0" w:color="auto"/>
        <w:left w:val="none" w:sz="0" w:space="0" w:color="auto"/>
        <w:bottom w:val="none" w:sz="0" w:space="0" w:color="auto"/>
        <w:right w:val="none" w:sz="0" w:space="0" w:color="auto"/>
      </w:divBdr>
    </w:div>
    <w:div w:id="343290252">
      <w:bodyDiv w:val="1"/>
      <w:marLeft w:val="0"/>
      <w:marRight w:val="0"/>
      <w:marTop w:val="0"/>
      <w:marBottom w:val="0"/>
      <w:divBdr>
        <w:top w:val="none" w:sz="0" w:space="0" w:color="auto"/>
        <w:left w:val="none" w:sz="0" w:space="0" w:color="auto"/>
        <w:bottom w:val="none" w:sz="0" w:space="0" w:color="auto"/>
        <w:right w:val="none" w:sz="0" w:space="0" w:color="auto"/>
      </w:divBdr>
    </w:div>
    <w:div w:id="420682799">
      <w:bodyDiv w:val="1"/>
      <w:marLeft w:val="0"/>
      <w:marRight w:val="0"/>
      <w:marTop w:val="0"/>
      <w:marBottom w:val="0"/>
      <w:divBdr>
        <w:top w:val="none" w:sz="0" w:space="0" w:color="auto"/>
        <w:left w:val="none" w:sz="0" w:space="0" w:color="auto"/>
        <w:bottom w:val="none" w:sz="0" w:space="0" w:color="auto"/>
        <w:right w:val="none" w:sz="0" w:space="0" w:color="auto"/>
      </w:divBdr>
    </w:div>
    <w:div w:id="488715109">
      <w:bodyDiv w:val="1"/>
      <w:marLeft w:val="0"/>
      <w:marRight w:val="0"/>
      <w:marTop w:val="0"/>
      <w:marBottom w:val="0"/>
      <w:divBdr>
        <w:top w:val="none" w:sz="0" w:space="0" w:color="auto"/>
        <w:left w:val="none" w:sz="0" w:space="0" w:color="auto"/>
        <w:bottom w:val="none" w:sz="0" w:space="0" w:color="auto"/>
        <w:right w:val="none" w:sz="0" w:space="0" w:color="auto"/>
      </w:divBdr>
    </w:div>
    <w:div w:id="489102980">
      <w:bodyDiv w:val="1"/>
      <w:marLeft w:val="0"/>
      <w:marRight w:val="0"/>
      <w:marTop w:val="0"/>
      <w:marBottom w:val="0"/>
      <w:divBdr>
        <w:top w:val="none" w:sz="0" w:space="0" w:color="auto"/>
        <w:left w:val="none" w:sz="0" w:space="0" w:color="auto"/>
        <w:bottom w:val="none" w:sz="0" w:space="0" w:color="auto"/>
        <w:right w:val="none" w:sz="0" w:space="0" w:color="auto"/>
      </w:divBdr>
    </w:div>
    <w:div w:id="501317419">
      <w:bodyDiv w:val="1"/>
      <w:marLeft w:val="0"/>
      <w:marRight w:val="0"/>
      <w:marTop w:val="0"/>
      <w:marBottom w:val="0"/>
      <w:divBdr>
        <w:top w:val="none" w:sz="0" w:space="0" w:color="auto"/>
        <w:left w:val="none" w:sz="0" w:space="0" w:color="auto"/>
        <w:bottom w:val="none" w:sz="0" w:space="0" w:color="auto"/>
        <w:right w:val="none" w:sz="0" w:space="0" w:color="auto"/>
      </w:divBdr>
    </w:div>
    <w:div w:id="503782099">
      <w:bodyDiv w:val="1"/>
      <w:marLeft w:val="0"/>
      <w:marRight w:val="0"/>
      <w:marTop w:val="0"/>
      <w:marBottom w:val="0"/>
      <w:divBdr>
        <w:top w:val="none" w:sz="0" w:space="0" w:color="auto"/>
        <w:left w:val="none" w:sz="0" w:space="0" w:color="auto"/>
        <w:bottom w:val="none" w:sz="0" w:space="0" w:color="auto"/>
        <w:right w:val="none" w:sz="0" w:space="0" w:color="auto"/>
      </w:divBdr>
    </w:div>
    <w:div w:id="624045226">
      <w:bodyDiv w:val="1"/>
      <w:marLeft w:val="0"/>
      <w:marRight w:val="0"/>
      <w:marTop w:val="0"/>
      <w:marBottom w:val="0"/>
      <w:divBdr>
        <w:top w:val="none" w:sz="0" w:space="0" w:color="auto"/>
        <w:left w:val="none" w:sz="0" w:space="0" w:color="auto"/>
        <w:bottom w:val="none" w:sz="0" w:space="0" w:color="auto"/>
        <w:right w:val="none" w:sz="0" w:space="0" w:color="auto"/>
      </w:divBdr>
    </w:div>
    <w:div w:id="647586415">
      <w:bodyDiv w:val="1"/>
      <w:marLeft w:val="0"/>
      <w:marRight w:val="0"/>
      <w:marTop w:val="0"/>
      <w:marBottom w:val="0"/>
      <w:divBdr>
        <w:top w:val="none" w:sz="0" w:space="0" w:color="auto"/>
        <w:left w:val="none" w:sz="0" w:space="0" w:color="auto"/>
        <w:bottom w:val="none" w:sz="0" w:space="0" w:color="auto"/>
        <w:right w:val="none" w:sz="0" w:space="0" w:color="auto"/>
      </w:divBdr>
    </w:div>
    <w:div w:id="651832209">
      <w:bodyDiv w:val="1"/>
      <w:marLeft w:val="0"/>
      <w:marRight w:val="0"/>
      <w:marTop w:val="0"/>
      <w:marBottom w:val="0"/>
      <w:divBdr>
        <w:top w:val="none" w:sz="0" w:space="0" w:color="auto"/>
        <w:left w:val="none" w:sz="0" w:space="0" w:color="auto"/>
        <w:bottom w:val="none" w:sz="0" w:space="0" w:color="auto"/>
        <w:right w:val="none" w:sz="0" w:space="0" w:color="auto"/>
      </w:divBdr>
    </w:div>
    <w:div w:id="928730248">
      <w:bodyDiv w:val="1"/>
      <w:marLeft w:val="0"/>
      <w:marRight w:val="0"/>
      <w:marTop w:val="0"/>
      <w:marBottom w:val="0"/>
      <w:divBdr>
        <w:top w:val="none" w:sz="0" w:space="0" w:color="auto"/>
        <w:left w:val="none" w:sz="0" w:space="0" w:color="auto"/>
        <w:bottom w:val="none" w:sz="0" w:space="0" w:color="auto"/>
        <w:right w:val="none" w:sz="0" w:space="0" w:color="auto"/>
      </w:divBdr>
    </w:div>
    <w:div w:id="957301592">
      <w:bodyDiv w:val="1"/>
      <w:marLeft w:val="0"/>
      <w:marRight w:val="0"/>
      <w:marTop w:val="0"/>
      <w:marBottom w:val="0"/>
      <w:divBdr>
        <w:top w:val="none" w:sz="0" w:space="0" w:color="auto"/>
        <w:left w:val="none" w:sz="0" w:space="0" w:color="auto"/>
        <w:bottom w:val="none" w:sz="0" w:space="0" w:color="auto"/>
        <w:right w:val="none" w:sz="0" w:space="0" w:color="auto"/>
      </w:divBdr>
    </w:div>
    <w:div w:id="1083062060">
      <w:bodyDiv w:val="1"/>
      <w:marLeft w:val="0"/>
      <w:marRight w:val="0"/>
      <w:marTop w:val="0"/>
      <w:marBottom w:val="0"/>
      <w:divBdr>
        <w:top w:val="none" w:sz="0" w:space="0" w:color="auto"/>
        <w:left w:val="none" w:sz="0" w:space="0" w:color="auto"/>
        <w:bottom w:val="none" w:sz="0" w:space="0" w:color="auto"/>
        <w:right w:val="none" w:sz="0" w:space="0" w:color="auto"/>
      </w:divBdr>
    </w:div>
    <w:div w:id="1120874729">
      <w:bodyDiv w:val="1"/>
      <w:marLeft w:val="0"/>
      <w:marRight w:val="0"/>
      <w:marTop w:val="0"/>
      <w:marBottom w:val="0"/>
      <w:divBdr>
        <w:top w:val="none" w:sz="0" w:space="0" w:color="auto"/>
        <w:left w:val="none" w:sz="0" w:space="0" w:color="auto"/>
        <w:bottom w:val="none" w:sz="0" w:space="0" w:color="auto"/>
        <w:right w:val="none" w:sz="0" w:space="0" w:color="auto"/>
      </w:divBdr>
    </w:div>
    <w:div w:id="1121148742">
      <w:bodyDiv w:val="1"/>
      <w:marLeft w:val="0"/>
      <w:marRight w:val="0"/>
      <w:marTop w:val="0"/>
      <w:marBottom w:val="0"/>
      <w:divBdr>
        <w:top w:val="none" w:sz="0" w:space="0" w:color="auto"/>
        <w:left w:val="none" w:sz="0" w:space="0" w:color="auto"/>
        <w:bottom w:val="none" w:sz="0" w:space="0" w:color="auto"/>
        <w:right w:val="none" w:sz="0" w:space="0" w:color="auto"/>
      </w:divBdr>
    </w:div>
    <w:div w:id="1172185324">
      <w:bodyDiv w:val="1"/>
      <w:marLeft w:val="0"/>
      <w:marRight w:val="0"/>
      <w:marTop w:val="0"/>
      <w:marBottom w:val="0"/>
      <w:divBdr>
        <w:top w:val="none" w:sz="0" w:space="0" w:color="auto"/>
        <w:left w:val="none" w:sz="0" w:space="0" w:color="auto"/>
        <w:bottom w:val="none" w:sz="0" w:space="0" w:color="auto"/>
        <w:right w:val="none" w:sz="0" w:space="0" w:color="auto"/>
      </w:divBdr>
    </w:div>
    <w:div w:id="1229877228">
      <w:bodyDiv w:val="1"/>
      <w:marLeft w:val="0"/>
      <w:marRight w:val="0"/>
      <w:marTop w:val="0"/>
      <w:marBottom w:val="0"/>
      <w:divBdr>
        <w:top w:val="none" w:sz="0" w:space="0" w:color="auto"/>
        <w:left w:val="none" w:sz="0" w:space="0" w:color="auto"/>
        <w:bottom w:val="none" w:sz="0" w:space="0" w:color="auto"/>
        <w:right w:val="none" w:sz="0" w:space="0" w:color="auto"/>
      </w:divBdr>
    </w:div>
    <w:div w:id="1259675889">
      <w:bodyDiv w:val="1"/>
      <w:marLeft w:val="0"/>
      <w:marRight w:val="0"/>
      <w:marTop w:val="0"/>
      <w:marBottom w:val="0"/>
      <w:divBdr>
        <w:top w:val="none" w:sz="0" w:space="0" w:color="auto"/>
        <w:left w:val="none" w:sz="0" w:space="0" w:color="auto"/>
        <w:bottom w:val="none" w:sz="0" w:space="0" w:color="auto"/>
        <w:right w:val="none" w:sz="0" w:space="0" w:color="auto"/>
      </w:divBdr>
    </w:div>
    <w:div w:id="1399589665">
      <w:bodyDiv w:val="1"/>
      <w:marLeft w:val="0"/>
      <w:marRight w:val="0"/>
      <w:marTop w:val="0"/>
      <w:marBottom w:val="0"/>
      <w:divBdr>
        <w:top w:val="none" w:sz="0" w:space="0" w:color="auto"/>
        <w:left w:val="none" w:sz="0" w:space="0" w:color="auto"/>
        <w:bottom w:val="none" w:sz="0" w:space="0" w:color="auto"/>
        <w:right w:val="none" w:sz="0" w:space="0" w:color="auto"/>
      </w:divBdr>
    </w:div>
    <w:div w:id="1696690536">
      <w:bodyDiv w:val="1"/>
      <w:marLeft w:val="0"/>
      <w:marRight w:val="0"/>
      <w:marTop w:val="0"/>
      <w:marBottom w:val="0"/>
      <w:divBdr>
        <w:top w:val="none" w:sz="0" w:space="0" w:color="auto"/>
        <w:left w:val="none" w:sz="0" w:space="0" w:color="auto"/>
        <w:bottom w:val="none" w:sz="0" w:space="0" w:color="auto"/>
        <w:right w:val="none" w:sz="0" w:space="0" w:color="auto"/>
      </w:divBdr>
    </w:div>
    <w:div w:id="1713580962">
      <w:bodyDiv w:val="1"/>
      <w:marLeft w:val="0"/>
      <w:marRight w:val="0"/>
      <w:marTop w:val="0"/>
      <w:marBottom w:val="0"/>
      <w:divBdr>
        <w:top w:val="none" w:sz="0" w:space="0" w:color="auto"/>
        <w:left w:val="none" w:sz="0" w:space="0" w:color="auto"/>
        <w:bottom w:val="none" w:sz="0" w:space="0" w:color="auto"/>
        <w:right w:val="none" w:sz="0" w:space="0" w:color="auto"/>
      </w:divBdr>
    </w:div>
    <w:div w:id="1730103987">
      <w:bodyDiv w:val="1"/>
      <w:marLeft w:val="0"/>
      <w:marRight w:val="0"/>
      <w:marTop w:val="0"/>
      <w:marBottom w:val="0"/>
      <w:divBdr>
        <w:top w:val="none" w:sz="0" w:space="0" w:color="auto"/>
        <w:left w:val="none" w:sz="0" w:space="0" w:color="auto"/>
        <w:bottom w:val="none" w:sz="0" w:space="0" w:color="auto"/>
        <w:right w:val="none" w:sz="0" w:space="0" w:color="auto"/>
      </w:divBdr>
    </w:div>
    <w:div w:id="1740901223">
      <w:bodyDiv w:val="1"/>
      <w:marLeft w:val="0"/>
      <w:marRight w:val="0"/>
      <w:marTop w:val="0"/>
      <w:marBottom w:val="0"/>
      <w:divBdr>
        <w:top w:val="none" w:sz="0" w:space="0" w:color="auto"/>
        <w:left w:val="none" w:sz="0" w:space="0" w:color="auto"/>
        <w:bottom w:val="none" w:sz="0" w:space="0" w:color="auto"/>
        <w:right w:val="none" w:sz="0" w:space="0" w:color="auto"/>
      </w:divBdr>
    </w:div>
    <w:div w:id="1816146756">
      <w:bodyDiv w:val="1"/>
      <w:marLeft w:val="0"/>
      <w:marRight w:val="0"/>
      <w:marTop w:val="0"/>
      <w:marBottom w:val="0"/>
      <w:divBdr>
        <w:top w:val="none" w:sz="0" w:space="0" w:color="auto"/>
        <w:left w:val="none" w:sz="0" w:space="0" w:color="auto"/>
        <w:bottom w:val="none" w:sz="0" w:space="0" w:color="auto"/>
        <w:right w:val="none" w:sz="0" w:space="0" w:color="auto"/>
      </w:divBdr>
    </w:div>
    <w:div w:id="1851139260">
      <w:bodyDiv w:val="1"/>
      <w:marLeft w:val="0"/>
      <w:marRight w:val="0"/>
      <w:marTop w:val="0"/>
      <w:marBottom w:val="0"/>
      <w:divBdr>
        <w:top w:val="none" w:sz="0" w:space="0" w:color="auto"/>
        <w:left w:val="none" w:sz="0" w:space="0" w:color="auto"/>
        <w:bottom w:val="none" w:sz="0" w:space="0" w:color="auto"/>
        <w:right w:val="none" w:sz="0" w:space="0" w:color="auto"/>
      </w:divBdr>
    </w:div>
    <w:div w:id="1856118388">
      <w:bodyDiv w:val="1"/>
      <w:marLeft w:val="0"/>
      <w:marRight w:val="0"/>
      <w:marTop w:val="0"/>
      <w:marBottom w:val="0"/>
      <w:divBdr>
        <w:top w:val="none" w:sz="0" w:space="0" w:color="auto"/>
        <w:left w:val="none" w:sz="0" w:space="0" w:color="auto"/>
        <w:bottom w:val="none" w:sz="0" w:space="0" w:color="auto"/>
        <w:right w:val="none" w:sz="0" w:space="0" w:color="auto"/>
      </w:divBdr>
    </w:div>
    <w:div w:id="1880166313">
      <w:bodyDiv w:val="1"/>
      <w:marLeft w:val="0"/>
      <w:marRight w:val="0"/>
      <w:marTop w:val="0"/>
      <w:marBottom w:val="0"/>
      <w:divBdr>
        <w:top w:val="none" w:sz="0" w:space="0" w:color="auto"/>
        <w:left w:val="none" w:sz="0" w:space="0" w:color="auto"/>
        <w:bottom w:val="none" w:sz="0" w:space="0" w:color="auto"/>
        <w:right w:val="none" w:sz="0" w:space="0" w:color="auto"/>
      </w:divBdr>
    </w:div>
    <w:div w:id="1962763776">
      <w:bodyDiv w:val="1"/>
      <w:marLeft w:val="0"/>
      <w:marRight w:val="0"/>
      <w:marTop w:val="0"/>
      <w:marBottom w:val="0"/>
      <w:divBdr>
        <w:top w:val="none" w:sz="0" w:space="0" w:color="auto"/>
        <w:left w:val="none" w:sz="0" w:space="0" w:color="auto"/>
        <w:bottom w:val="none" w:sz="0" w:space="0" w:color="auto"/>
        <w:right w:val="none" w:sz="0" w:space="0" w:color="auto"/>
      </w:divBdr>
    </w:div>
    <w:div w:id="2088728510">
      <w:bodyDiv w:val="1"/>
      <w:marLeft w:val="0"/>
      <w:marRight w:val="0"/>
      <w:marTop w:val="0"/>
      <w:marBottom w:val="0"/>
      <w:divBdr>
        <w:top w:val="none" w:sz="0" w:space="0" w:color="auto"/>
        <w:left w:val="none" w:sz="0" w:space="0" w:color="auto"/>
        <w:bottom w:val="none" w:sz="0" w:space="0" w:color="auto"/>
        <w:right w:val="none" w:sz="0" w:space="0" w:color="auto"/>
      </w:divBdr>
    </w:div>
    <w:div w:id="211112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56684-2FA3-41AC-B273-9158E19C8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1544</Words>
  <Characters>8184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Breyer</dc:creator>
  <cp:keywords/>
  <dc:description/>
  <cp:lastModifiedBy>Linda Gjermani</cp:lastModifiedBy>
  <cp:revision>2</cp:revision>
  <cp:lastPrinted>2024-01-09T09:44:00Z</cp:lastPrinted>
  <dcterms:created xsi:type="dcterms:W3CDTF">2024-01-11T13:51:00Z</dcterms:created>
  <dcterms:modified xsi:type="dcterms:W3CDTF">2024-01-11T13:51:00Z</dcterms:modified>
</cp:coreProperties>
</file>